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440605-2022-09160</w:t>
      </w:r>
    </w:p>
    <w:p>
      <w:pPr>
        <w:jc w:val="center"/>
      </w:pPr>
      <w:r>
        <w:rPr>
          <w:b/>
          <w:sz w:val="24"/>
        </w:rPr>
        <w:t>采购项目编号：</w:t>
      </w:r>
      <w:r>
        <w:rPr>
          <w:b/>
          <w:sz w:val="24"/>
        </w:rPr>
        <w:t>JF2022(NH)WS0111</w:t>
      </w:r>
    </w:p>
    <w:p>
      <w:pPr>
        <w:jc w:val="center"/>
      </w:pPr>
      <w:r>
        <w:rPr>
          <w:b/>
          <w:sz w:val="24"/>
        </w:rPr>
        <w:t>项目名称：</w:t>
      </w:r>
      <w:r>
        <w:rPr>
          <w:b/>
          <w:sz w:val="24"/>
        </w:rPr>
        <w:t>垃圾焚烧发电厂飞灰固化等项目第三方机构检测服务</w:t>
      </w:r>
    </w:p>
    <w:p>
      <w:pPr>
        <w:jc w:val="center"/>
      </w:pPr>
      <w:r>
        <w:rPr>
          <w:b/>
          <w:sz w:val="24"/>
        </w:rPr>
        <w:t>采购人：</w:t>
      </w:r>
      <w:r>
        <w:rPr>
          <w:b/>
          <w:sz w:val="24"/>
        </w:rPr>
        <w:t>佛山市南海区城市管理和综合执法局</w:t>
      </w:r>
    </w:p>
    <w:p>
      <w:pPr>
        <w:jc w:val="center"/>
      </w:pPr>
      <w:r>
        <w:rPr>
          <w:b/>
          <w:sz w:val="24"/>
        </w:rPr>
        <w:t>采购代理机构：</w:t>
      </w:r>
      <w:r>
        <w:rPr>
          <w:b/>
          <w:sz w:val="24"/>
        </w:rPr>
        <w:t>佛山市伟源招标代理有限公司</w:t>
      </w:r>
    </w:p>
    <w:p>
      <w:pPr>
        <w:ind w:firstLine="480"/>
      </w:pPr>
    </w:p>
    <w:p>
      <w:r>
        <w:rPr/>
        <w:t xml:space="preserve"> </w:t>
      </w:r>
    </w:p>
    <w:p/>
    <w:p>
      <w:pPr>
        <w:jc w:val="center"/>
      </w:pPr>
      <w:r>
        <w:rPr>
          <w:b/>
          <w:sz w:val="36"/>
        </w:rPr>
        <w:t>第一章 磋商邀请</w:t>
      </w:r>
    </w:p>
    <w:p>
      <w:pPr>
        <w:ind w:firstLine="480"/>
      </w:pPr>
      <w:r>
        <w:rPr/>
        <w:t>佛山市伟源招标代理有限公司</w:t>
      </w:r>
      <w:r>
        <w:rPr/>
        <w:t>受</w:t>
      </w:r>
      <w:r>
        <w:rPr/>
        <w:t>佛山市南海区城市管理和综合执法局</w:t>
      </w:r>
      <w:r>
        <w:rPr/>
        <w:t>的委托，采用</w:t>
      </w:r>
      <w:r>
        <w:rPr/>
        <w:t>竞争性磋商</w:t>
      </w:r>
      <w:r>
        <w:rPr/>
        <w:t>方式组织采购</w:t>
      </w:r>
      <w:r>
        <w:rPr/>
        <w:t>垃圾焚烧发电厂飞灰固化等项目第三方机构检测服务</w:t>
      </w:r>
      <w:r>
        <w:rPr/>
        <w:t>。欢迎符合资格条件的供应商参加。</w:t>
      </w:r>
    </w:p>
    <w:p>
      <w:r>
        <w:rPr>
          <w:b/>
          <w:sz w:val="28"/>
        </w:rPr>
        <w:t>一.项目概述</w:t>
      </w:r>
    </w:p>
    <w:p>
      <w:r>
        <w:rPr>
          <w:b/>
          <w:sz w:val="24"/>
        </w:rPr>
        <w:t>1.名称与编号</w:t>
      </w:r>
    </w:p>
    <w:p>
      <w:pPr>
        <w:ind w:firstLine="480"/>
      </w:pPr>
      <w:r>
        <w:rPr/>
        <w:t>采购项目名称：</w:t>
      </w:r>
      <w:r>
        <w:rPr/>
        <w:t>垃圾焚烧发电厂飞灰固化等项目第三方机构检测服务</w:t>
      </w:r>
    </w:p>
    <w:p>
      <w:pPr>
        <w:ind w:firstLine="480"/>
      </w:pPr>
      <w:r>
        <w:rPr/>
        <w:t>采购计划编号：</w:t>
      </w:r>
      <w:r>
        <w:rPr/>
        <w:t>440605-2022-09160</w:t>
      </w:r>
    </w:p>
    <w:p>
      <w:pPr>
        <w:ind w:firstLine="480"/>
      </w:pPr>
      <w:r>
        <w:rPr/>
        <w:t>采购项目编号：</w:t>
      </w:r>
      <w:r>
        <w:rPr/>
        <w:t>JF2022(NH)WS0111</w:t>
      </w:r>
    </w:p>
    <w:p>
      <w:pPr>
        <w:ind w:firstLine="480"/>
      </w:pPr>
      <w:r>
        <w:rPr/>
        <w:t>采购方式：</w:t>
      </w:r>
      <w:r>
        <w:rPr/>
        <w:t>竞争性磋商</w:t>
      </w:r>
    </w:p>
    <w:p>
      <w:pPr>
        <w:ind w:firstLine="480"/>
      </w:pPr>
      <w:r>
        <w:rPr/>
        <w:t>预算金额：</w:t>
      </w:r>
      <w:r>
        <w:rPr/>
        <w:t>2,985,000.00</w:t>
      </w:r>
      <w:r>
        <w:rPr/>
        <w:t>元</w:t>
      </w:r>
    </w:p>
    <w:p>
      <w:r>
        <w:rPr>
          <w:b/>
          <w:sz w:val="24"/>
        </w:rPr>
        <w:t>2.项目内容及需求情况（采购项目技术规格、参数及要求）</w:t>
      </w:r>
    </w:p>
    <w:p>
      <w:pPr>
        <w:ind w:firstLine="480"/>
      </w:pPr>
    </w:p>
    <w:p/>
    <w:p>
      <w:r>
        <w:rPr/>
        <w:t>采购包1(垃圾焚烧发电厂飞灰固化等项目第三方机构检测服务):</w:t>
      </w:r>
    </w:p>
    <w:p>
      <w:r>
        <w:rPr/>
        <w:t>采购包预算金额：2,985,000.00元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技术测试和分析服务</w:t>
            </w:r>
          </w:p>
        </w:tc>
        <w:tc>
          <w:tcPr>
            <w:tcW w:type="dxa" w:w="2136"/>
          </w:tcPr>
          <w:p>
            <w:r>
              <w:rPr/>
              <w:t>垃圾焚烧发电厂飞灰固化等项目第三方机构检测服务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合同履行期限：合同签订并生效之日起3年，合同每年签订1次</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w:t>
      </w:r>
    </w:p>
    <w:p/>
    <w:p>
      <w:r>
        <w:rPr/>
        <w:t>2）有依法缴纳税收和社会保障资金的良好记录：提交响应文件截止时间前6个月内任意1个月依法缴纳税收和社会保障资金的相关材料。如依法免税或不需要缴纳社会保障资金的，提供相应证明材料。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3）具有良好的商业信誉和健全的财务会计制度：供应商必须具有良好的商业信誉和健全的财务会计制度（提供2020年度或2021年度经审计的财务状况报告或基本开户行出具的资信证明）。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采购包1（垃圾焚烧发电厂飞灰固化等项目第三方机构检测服务）：</w:t>
      </w:r>
      <w:r>
        <w:rPr/>
        <w:t>本项目不属于专门面向中小企业采购的项目。</w:t>
      </w:r>
    </w:p>
    <w:p/>
    <w:p>
      <w:r>
        <w:rPr>
          <w:b/>
          <w:sz w:val="24"/>
        </w:rPr>
        <w:t>3.本项目特定的资格要求：</w:t>
      </w:r>
    </w:p>
    <w:p>
      <w:pPr>
        <w:ind w:firstLine="480"/>
      </w:pPr>
    </w:p>
    <w:p/>
    <w:p>
      <w:r>
        <w:rPr/>
        <w:t>采购包1（垃圾焚烧发电厂飞灰固化等项目第三方机构检测服务）：</w:t>
      </w:r>
    </w:p>
    <w:p/>
    <w:p>
      <w:r>
        <w:rPr/>
        <w:t>1)提供有效的国家计量认证证书（CMA认证）扫描件。</w:t>
      </w:r>
    </w:p>
    <w:p/>
    <w:p>
      <w:r>
        <w:rPr/>
        <w:t>2)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3)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佛山市公共资源交易网（ggzy.foshan.gov.cn），佛山市公共资源交易中心南海分中心网页（http://www.nanhai.gov.cn/fsnhq/bmdh/sydw/ggzyjyzx/znjj/），佛山市伟源招标代理有限公司（www.fsweiyuan.com）</w:t>
      </w:r>
    </w:p>
    <w:p>
      <w:r>
        <w:rPr>
          <w:b/>
          <w:sz w:val="28"/>
        </w:rPr>
        <w:t>六.本项目联系方式：</w:t>
      </w:r>
    </w:p>
    <w:p>
      <w:r>
        <w:rPr>
          <w:b/>
          <w:sz w:val="24"/>
        </w:rPr>
        <w:t>1.采购人信息</w:t>
      </w:r>
    </w:p>
    <w:p>
      <w:pPr>
        <w:ind w:firstLine="480"/>
      </w:pPr>
      <w:r>
        <w:rPr/>
        <w:t>名称：</w:t>
      </w:r>
      <w:r>
        <w:rPr/>
        <w:t>佛山市南海区城市管理和综合执法局</w:t>
      </w:r>
    </w:p>
    <w:p>
      <w:pPr>
        <w:ind w:firstLine="480"/>
      </w:pPr>
      <w:r>
        <w:rPr/>
        <w:t>地址：</w:t>
      </w:r>
      <w:r>
        <w:rPr/>
        <w:t>佛山市南海区桂城街道天佑南路8号</w:t>
      </w:r>
    </w:p>
    <w:p>
      <w:pPr>
        <w:ind w:firstLine="480"/>
      </w:pPr>
      <w:r>
        <w:rPr/>
        <w:t>联系方式：</w:t>
      </w:r>
      <w:r>
        <w:rPr/>
        <w:t>0757-86232210</w:t>
      </w:r>
    </w:p>
    <w:p>
      <w:r>
        <w:rPr>
          <w:b/>
          <w:sz w:val="24"/>
        </w:rPr>
        <w:t>2.采购代理机构信息</w:t>
      </w:r>
    </w:p>
    <w:p>
      <w:pPr>
        <w:ind w:firstLine="480"/>
      </w:pPr>
      <w:r>
        <w:rPr/>
        <w:t>名称：</w:t>
      </w:r>
      <w:r>
        <w:rPr/>
        <w:t>佛山市伟源招标代理有限公司</w:t>
      </w:r>
    </w:p>
    <w:p>
      <w:pPr>
        <w:ind w:firstLine="480"/>
      </w:pPr>
      <w:r>
        <w:rPr/>
        <w:t>地址：</w:t>
      </w:r>
      <w:r>
        <w:rPr/>
        <w:t>佛山市南海区桂城南桂东路38号房地产发展大厦主楼9楼3号</w:t>
      </w:r>
    </w:p>
    <w:p>
      <w:pPr>
        <w:ind w:firstLine="480"/>
      </w:pPr>
      <w:r>
        <w:rPr/>
        <w:t>联系方式：</w:t>
      </w:r>
      <w:r>
        <w:rPr/>
        <w:t>0757-86230148</w:t>
      </w:r>
    </w:p>
    <w:p>
      <w:r>
        <w:rPr>
          <w:b/>
          <w:sz w:val="24"/>
        </w:rPr>
        <w:t>3.项目联系方式</w:t>
      </w:r>
    </w:p>
    <w:p>
      <w:pPr>
        <w:ind w:firstLine="480"/>
      </w:pPr>
      <w:r>
        <w:rPr/>
        <w:t>项目联系人：</w:t>
      </w:r>
      <w:r>
        <w:rPr/>
        <w:t>李小姐</w:t>
      </w:r>
    </w:p>
    <w:p>
      <w:pPr>
        <w:ind w:firstLine="480"/>
      </w:pPr>
      <w:r>
        <w:rPr/>
        <w:t>电话：</w:t>
      </w:r>
      <w:r>
        <w:rPr/>
        <w:t>0757-86230148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佛山市伟源招标代理有限公司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349"/>
      </w:pPr>
      <w:r>
        <w:rPr>
          <w:sz w:val="21"/>
        </w:rPr>
        <w:t>1.打“★”号条款为实质性条款，若有任何一条负偏离或不满足则导致投标（响应）无效。</w:t>
      </w:r>
    </w:p>
    <w:p>
      <w:pPr>
        <w:ind w:firstLine="349"/>
      </w:pPr>
      <w:r>
        <w:rPr>
          <w:sz w:val="21"/>
        </w:rPr>
        <w:t>2.打“▲”号条款为重要技术参数（如有），若有部分“▲”条款未响应或不满足，将根据评审要求影响其得分，但不作为无效投标（响应）条款。</w:t>
      </w:r>
    </w:p>
    <w:p>
      <w:pPr>
        <w:ind w:firstLine="390"/>
      </w:pPr>
      <w:r>
        <w:rPr>
          <w:sz w:val="21"/>
        </w:rPr>
        <w:t>3. 采购标的对应的中小企业划分标准所属行业：</w:t>
      </w:r>
      <w:r>
        <w:rPr>
          <w:b/>
          <w:sz w:val="21"/>
        </w:rPr>
        <w:t>其他未列明行业。</w:t>
      </w:r>
    </w:p>
    <w:p>
      <w:pPr>
        <w:ind w:firstLine="390"/>
      </w:pPr>
      <w:r>
        <w:rPr>
          <w:sz w:val="21"/>
        </w:rPr>
        <w:t>依据《政府采购促进中小企业发展管理办法》规定享受扶持政策获得政府采购合同的，小微企业不得将合同分包给大中型企业，中型企业不得将合同分包给大型企业。</w:t>
      </w:r>
    </w:p>
    <w:p>
      <w:pPr>
        <w:ind w:firstLine="390"/>
      </w:pPr>
      <w:r>
        <w:rPr>
          <w:sz w:val="21"/>
        </w:rPr>
        <w:t>采购标的对应的中小企业划分标准：</w:t>
      </w:r>
      <w:r>
        <w:rPr>
          <w:b/>
          <w:sz w:val="21"/>
        </w:rPr>
        <w:t>从业人员300人以下的为中小微型企业。其中，从业人员100人及以上的为中型企业；从业人员10人及以上的为小型企业；从业人员10人以下的为微型企业。</w:t>
      </w:r>
    </w:p>
    <w:p>
      <w:pPr>
        <w:ind w:firstLine="349"/>
      </w:pPr>
      <w:r>
        <w:rPr>
          <w:b/>
          <w:sz w:val="21"/>
        </w:rPr>
        <w:t>4.</w:t>
      </w:r>
      <w:r>
        <w:rPr>
          <w:b/>
          <w:sz w:val="21"/>
        </w:rPr>
        <w:t>有下列情形之一的，视为供应商串通响应，其响应无效</w:t>
      </w:r>
    </w:p>
    <w:p>
      <w:pPr>
        <w:ind w:firstLine="349"/>
      </w:pPr>
      <w:r>
        <w:rPr>
          <w:b/>
          <w:sz w:val="21"/>
        </w:rPr>
        <w:t>4.1</w:t>
      </w:r>
      <w:r>
        <w:rPr>
          <w:b/>
          <w:sz w:val="21"/>
        </w:rPr>
        <w:t>不同供应商的响应文件由同一单位或者个人编制；</w:t>
      </w:r>
    </w:p>
    <w:p>
      <w:pPr>
        <w:ind w:firstLine="349"/>
      </w:pPr>
      <w:r>
        <w:rPr>
          <w:b/>
          <w:color w:val="000000"/>
          <w:sz w:val="21"/>
        </w:rPr>
        <w:t>4.2</w:t>
      </w:r>
      <w:r>
        <w:rPr>
          <w:b/>
          <w:color w:val="000000"/>
          <w:sz w:val="21"/>
        </w:rPr>
        <w:t>不同供应商委托同一单位或者个人办理响应事宜；</w:t>
      </w:r>
    </w:p>
    <w:p>
      <w:pPr>
        <w:ind w:firstLine="349"/>
      </w:pPr>
      <w:r>
        <w:rPr>
          <w:b/>
          <w:color w:val="000000"/>
          <w:sz w:val="21"/>
        </w:rPr>
        <w:t>4.3</w:t>
      </w:r>
      <w:r>
        <w:rPr>
          <w:b/>
          <w:color w:val="000000"/>
          <w:sz w:val="21"/>
        </w:rPr>
        <w:t>不同供应商的响应文件载明的项目管理成员或者联系人员为同一人；</w:t>
      </w:r>
    </w:p>
    <w:p>
      <w:pPr>
        <w:ind w:firstLine="349"/>
      </w:pPr>
      <w:r>
        <w:rPr>
          <w:b/>
          <w:color w:val="000000"/>
          <w:sz w:val="21"/>
        </w:rPr>
        <w:t>4.4</w:t>
      </w:r>
      <w:r>
        <w:rPr>
          <w:b/>
          <w:color w:val="000000"/>
          <w:sz w:val="21"/>
        </w:rPr>
        <w:t>不同供应商的响应文件异常一致或者响应报价呈规律性差异；</w:t>
      </w:r>
    </w:p>
    <w:p>
      <w:pPr>
        <w:ind w:firstLine="349"/>
      </w:pPr>
      <w:r>
        <w:rPr>
          <w:b/>
          <w:color w:val="000000"/>
          <w:sz w:val="21"/>
        </w:rPr>
        <w:t>4.5</w:t>
      </w:r>
      <w:r>
        <w:rPr>
          <w:b/>
          <w:color w:val="000000"/>
          <w:sz w:val="21"/>
        </w:rPr>
        <w:t>不同供应商的响应文件相互混装；</w:t>
      </w:r>
    </w:p>
    <w:p>
      <w:pPr>
        <w:ind w:firstLine="349"/>
      </w:pPr>
      <w:r>
        <w:rPr>
          <w:b/>
          <w:color w:val="000000"/>
          <w:sz w:val="21"/>
        </w:rPr>
        <w:t>4.6</w:t>
      </w:r>
      <w:r>
        <w:rPr>
          <w:b/>
          <w:color w:val="000000"/>
          <w:sz w:val="21"/>
        </w:rPr>
        <w:t>不同供应商的响应保证金或购买电子保函支付款为从同一单位或个人的账户转出。</w:t>
      </w:r>
    </w:p>
    <w:p>
      <w:pPr>
        <w:ind w:firstLine="349"/>
      </w:pPr>
      <w:r>
        <w:rPr>
          <w:b/>
          <w:color w:val="000000"/>
          <w:sz w:val="21"/>
        </w:rPr>
        <w:t>4.7</w:t>
      </w:r>
      <w:r>
        <w:rPr>
          <w:b/>
          <w:color w:val="000000"/>
          <w:sz w:val="21"/>
        </w:rPr>
        <w:t>不同投标人的电子投标文件制作机器</w:t>
      </w:r>
      <w:r>
        <w:rPr>
          <w:b/>
          <w:color w:val="000000"/>
          <w:sz w:val="21"/>
        </w:rPr>
        <w:t>MAC</w:t>
      </w:r>
      <w:r>
        <w:rPr>
          <w:b/>
          <w:color w:val="000000"/>
          <w:sz w:val="21"/>
        </w:rPr>
        <w:t>地址硬件信息相同的。</w:t>
      </w:r>
    </w:p>
    <w:p>
      <w:pPr>
        <w:ind w:firstLine="349"/>
      </w:pPr>
      <w:r>
        <w:rPr>
          <w:b/>
          <w:color w:val="000000"/>
          <w:sz w:val="21"/>
        </w:rPr>
        <w:t>4.8</w:t>
      </w:r>
      <w:r>
        <w:rPr>
          <w:b/>
          <w:color w:val="000000"/>
          <w:sz w:val="21"/>
        </w:rPr>
        <w:t>供应商上传的电子响应文件使用该项目其他响应供应商的数字证书加密的或加盖该项目的其他响应供应商的电子印章的。</w:t>
      </w:r>
    </w:p>
    <w:p>
      <w:pPr>
        <w:ind w:firstLine="349"/>
      </w:pPr>
      <w:r>
        <w:rPr>
          <w:color w:val="000000"/>
          <w:sz w:val="21"/>
        </w:rPr>
        <w:t>5.</w:t>
      </w:r>
      <w:r>
        <w:rPr>
          <w:color w:val="000000"/>
          <w:sz w:val="21"/>
        </w:rPr>
        <w:t>佛山市南海区城市管理和综合执法局（以下简称</w:t>
      </w:r>
      <w:r>
        <w:rPr>
          <w:color w:val="000000"/>
          <w:sz w:val="21"/>
        </w:rPr>
        <w:t>“</w:t>
      </w:r>
      <w:r>
        <w:rPr>
          <w:color w:val="000000"/>
          <w:sz w:val="21"/>
        </w:rPr>
        <w:t>采购人</w:t>
      </w:r>
      <w:r>
        <w:rPr>
          <w:color w:val="000000"/>
          <w:sz w:val="21"/>
        </w:rPr>
        <w:t>”</w:t>
      </w:r>
      <w:r>
        <w:rPr>
          <w:color w:val="000000"/>
          <w:sz w:val="21"/>
        </w:rPr>
        <w:t>）与瀚蓝绿电固废处理（佛山）有限公司（以下简称</w:t>
      </w:r>
      <w:r>
        <w:rPr>
          <w:color w:val="000000"/>
          <w:sz w:val="21"/>
        </w:rPr>
        <w:t>“</w:t>
      </w:r>
      <w:r>
        <w:rPr>
          <w:color w:val="000000"/>
          <w:sz w:val="21"/>
        </w:rPr>
        <w:t>绿电公司</w:t>
      </w:r>
      <w:r>
        <w:rPr>
          <w:color w:val="000000"/>
          <w:sz w:val="21"/>
        </w:rPr>
        <w:t>”</w:t>
      </w:r>
      <w:r>
        <w:rPr>
          <w:color w:val="000000"/>
          <w:sz w:val="21"/>
        </w:rPr>
        <w:t>）签订</w:t>
      </w:r>
      <w:r>
        <w:rPr>
          <w:color w:val="000000"/>
          <w:sz w:val="21"/>
        </w:rPr>
        <w:t>BOT</w:t>
      </w:r>
      <w:r>
        <w:rPr>
          <w:color w:val="000000"/>
          <w:sz w:val="21"/>
        </w:rPr>
        <w:t>协议，由绿电公司经营南海区生活垃圾焚烧处理项目。因此，采购人作为政府代表的主管部门应当对企业的日常运行进行严格监管，环保监测工作必须有序开展。</w:t>
      </w:r>
    </w:p>
    <w:p>
      <w:pPr>
        <w:ind w:firstLine="349"/>
      </w:pPr>
      <w:r>
        <w:rPr>
          <w:color w:val="000000"/>
          <w:sz w:val="21"/>
        </w:rPr>
        <w:t>6.</w:t>
      </w:r>
      <w:r>
        <w:rPr>
          <w:color w:val="000000"/>
          <w:sz w:val="21"/>
        </w:rPr>
        <w:t>南海垃圾焚烧发电厂运营方为绿电公司，位于南海固废处理环保产业园内，包括南海垃圾焚烧发电一厂、发电二厂和发电三厂，三个焚烧发电厂的总设计焚烧能力达到</w:t>
      </w:r>
      <w:r>
        <w:rPr>
          <w:color w:val="000000"/>
          <w:sz w:val="21"/>
        </w:rPr>
        <w:t>4500</w:t>
      </w:r>
      <w:r>
        <w:rPr>
          <w:color w:val="000000"/>
          <w:sz w:val="21"/>
        </w:rPr>
        <w:t>吨</w:t>
      </w:r>
      <w:r>
        <w:rPr>
          <w:color w:val="000000"/>
          <w:sz w:val="21"/>
        </w:rPr>
        <w:t>/</w:t>
      </w:r>
      <w:r>
        <w:rPr>
          <w:color w:val="000000"/>
          <w:sz w:val="21"/>
        </w:rPr>
        <w:t>日。焚烧处理生活垃圾所产生的飞灰，经收集后送至飞灰处置厂进行稳定化处理，处理后产生的飞灰固化块送至小塘灰渣无害化处置场填埋。另外，日后如有新的飞灰处置技术，将有可能按照新的标准规范，在合同期限内的相关检测事项及指标有相应的调整。</w:t>
      </w:r>
    </w:p>
    <w:p>
      <w:pPr>
        <w:ind w:firstLine="349"/>
      </w:pPr>
    </w:p>
    <w:p>
      <w:pPr>
        <w:jc w:val="both"/>
      </w:pPr>
    </w:p>
    <w:p>
      <w:pPr>
        <w:jc w:val="both"/>
      </w:pPr>
      <w:r>
        <w:rPr>
          <w:b/>
          <w:sz w:val="21"/>
        </w:rPr>
        <w:t>★</w:t>
      </w:r>
      <w:r>
        <w:rPr>
          <w:b/>
          <w:sz w:val="21"/>
        </w:rPr>
        <w:t>二、报价要求：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4153"/>
        <w:gridCol w:w="2769"/>
      </w:tblGrid>
      <w:tr>
        <w:tc>
          <w:tcPr>
            <w:tcW w:type="dxa" w:w="138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153"/>
            <w:tcBorders>
              <w:top w:val="single" w:color="000000" w:sz="4"/>
              <w:left w:val="none" w:color="000000" w:sz="4"/>
              <w:bottom w:val="single" w:color="000000" w:sz="4"/>
              <w:right w:val="single" w:color="000000" w:sz="4"/>
            </w:tcBorders>
            <w:vAlign w:val="top"/>
          </w:tcPr>
          <w:p>
            <w:pPr>
              <w:jc w:val="center"/>
            </w:pPr>
            <w:r>
              <w:rPr>
                <w:sz w:val="21"/>
              </w:rPr>
              <w:t>分项名称</w:t>
            </w:r>
          </w:p>
        </w:tc>
        <w:tc>
          <w:tcPr>
            <w:tcW w:type="dxa" w:w="2769"/>
            <w:tcBorders>
              <w:top w:val="single" w:color="000000" w:sz="4"/>
              <w:left w:val="none" w:color="000000" w:sz="4"/>
              <w:bottom w:val="single" w:color="000000" w:sz="4"/>
              <w:right w:val="single" w:color="000000" w:sz="4"/>
            </w:tcBorders>
            <w:vAlign w:val="top"/>
          </w:tcPr>
          <w:p>
            <w:pPr>
              <w:jc w:val="center"/>
            </w:pPr>
            <w:r>
              <w:rPr>
                <w:sz w:val="21"/>
              </w:rPr>
              <w:t>最高单价限价（元</w:t>
            </w:r>
            <w:r>
              <w:rPr>
                <w:sz w:val="21"/>
              </w:rPr>
              <w:t>/</w:t>
            </w:r>
            <w:r>
              <w:rPr>
                <w:sz w:val="21"/>
              </w:rPr>
              <w:t>样）</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153"/>
            <w:tcBorders>
              <w:top w:val="none" w:color="000000" w:sz="4"/>
              <w:left w:val="none" w:color="000000" w:sz="4"/>
              <w:bottom w:val="single" w:color="000000" w:sz="4"/>
              <w:right w:val="single" w:color="000000" w:sz="4"/>
            </w:tcBorders>
            <w:vAlign w:val="top"/>
          </w:tcPr>
          <w:p>
            <w:pPr>
              <w:ind w:firstLine="33"/>
              <w:jc w:val="center"/>
            </w:pPr>
            <w:r>
              <w:rPr>
                <w:sz w:val="21"/>
              </w:rPr>
              <w:t>飞灰固化块二噁英检测</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6000.00</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153"/>
            <w:tcBorders>
              <w:top w:val="none" w:color="000000" w:sz="4"/>
              <w:left w:val="none" w:color="000000" w:sz="4"/>
              <w:bottom w:val="single" w:color="000000" w:sz="4"/>
              <w:right w:val="single" w:color="000000" w:sz="4"/>
            </w:tcBorders>
            <w:vAlign w:val="top"/>
          </w:tcPr>
          <w:p>
            <w:pPr>
              <w:ind w:firstLine="33"/>
              <w:jc w:val="center"/>
            </w:pPr>
            <w:r>
              <w:rPr>
                <w:sz w:val="21"/>
              </w:rPr>
              <w:t>飞灰固化块浸出液毒性检测</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1250.00</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153"/>
            <w:tcBorders>
              <w:top w:val="none" w:color="000000" w:sz="4"/>
              <w:left w:val="none" w:color="000000" w:sz="4"/>
              <w:bottom w:val="single" w:color="000000" w:sz="4"/>
              <w:right w:val="single" w:color="000000" w:sz="4"/>
            </w:tcBorders>
            <w:vAlign w:val="top"/>
          </w:tcPr>
          <w:p>
            <w:pPr>
              <w:ind w:firstLine="33"/>
              <w:jc w:val="center"/>
            </w:pPr>
            <w:r>
              <w:rPr>
                <w:sz w:val="21"/>
              </w:rPr>
              <w:t>园区地表水检测</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1200.00</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153"/>
            <w:tcBorders>
              <w:top w:val="none" w:color="000000" w:sz="4"/>
              <w:left w:val="none" w:color="000000" w:sz="4"/>
              <w:bottom w:val="single" w:color="000000" w:sz="4"/>
              <w:right w:val="single" w:color="000000" w:sz="4"/>
            </w:tcBorders>
            <w:vAlign w:val="top"/>
          </w:tcPr>
          <w:p>
            <w:pPr>
              <w:ind w:firstLine="33"/>
              <w:jc w:val="center"/>
            </w:pPr>
            <w:r>
              <w:rPr>
                <w:sz w:val="21"/>
              </w:rPr>
              <w:t>填埋场地下水检测</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1800.00</w:t>
            </w:r>
          </w:p>
        </w:tc>
      </w:tr>
    </w:tbl>
    <w:p>
      <w:pPr>
        <w:ind w:firstLine="447"/>
        <w:jc w:val="both"/>
      </w:pPr>
      <w:r>
        <w:rPr>
          <w:sz w:val="21"/>
        </w:rPr>
        <w:t>1.</w:t>
      </w:r>
      <w:r>
        <w:rPr>
          <w:sz w:val="21"/>
        </w:rPr>
        <w:t>本项目报价采用</w:t>
      </w:r>
      <w:r>
        <w:rPr>
          <w:sz w:val="21"/>
        </w:rPr>
        <w:t>单价</w:t>
      </w:r>
      <w:r>
        <w:rPr>
          <w:sz w:val="21"/>
        </w:rPr>
        <w:t>报价方式，每项</w:t>
      </w:r>
      <w:r>
        <w:rPr>
          <w:sz w:val="21"/>
        </w:rPr>
        <w:t>单价</w:t>
      </w:r>
      <w:r>
        <w:rPr>
          <w:sz w:val="21"/>
        </w:rPr>
        <w:t>报价最多保留</w:t>
      </w:r>
      <w:r>
        <w:rPr>
          <w:sz w:val="21"/>
        </w:rPr>
        <w:t>2</w:t>
      </w:r>
      <w:r>
        <w:rPr>
          <w:sz w:val="21"/>
        </w:rPr>
        <w:t>位小数。报价必须对以上检测进行报价，且每项</w:t>
      </w:r>
      <w:r>
        <w:rPr>
          <w:sz w:val="21"/>
        </w:rPr>
        <w:t>单价</w:t>
      </w:r>
      <w:r>
        <w:rPr>
          <w:sz w:val="21"/>
        </w:rPr>
        <w:t>报价不能超过上述</w:t>
      </w:r>
      <w:r>
        <w:rPr>
          <w:sz w:val="21"/>
        </w:rPr>
        <w:t>对应</w:t>
      </w:r>
      <w:r>
        <w:rPr>
          <w:sz w:val="21"/>
        </w:rPr>
        <w:t>最高单价限价，否则作无效响应处理。</w:t>
      </w:r>
    </w:p>
    <w:p>
      <w:pPr>
        <w:ind w:firstLine="447"/>
        <w:jc w:val="both"/>
      </w:pPr>
      <w:r>
        <w:rPr>
          <w:sz w:val="21"/>
        </w:rPr>
        <w:t>2.</w:t>
      </w:r>
      <w:r>
        <w:rPr>
          <w:sz w:val="21"/>
        </w:rPr>
        <w:t>本项目报价为包干报价，成交人不得以任何理由向采购人增加额外收费。本项目应包括的费用：取样费、样品检测单价、报告费、快递费、人员费用、各种税费及合同实施过程中的不可预见费用等全部费用。</w:t>
      </w:r>
    </w:p>
    <w:p>
      <w:pPr>
        <w:ind w:firstLine="447"/>
        <w:jc w:val="both"/>
      </w:pPr>
      <w:r>
        <w:rPr>
          <w:sz w:val="21"/>
        </w:rPr>
        <w:t>3.</w:t>
      </w:r>
      <w:r>
        <w:rPr>
          <w:sz w:val="21"/>
        </w:rPr>
        <w:t>若国家相关检测标准有变动，成交人样品检测单价须按响应时的报价执行，单价不予变更，请成交人考虑相关投标风险。</w:t>
      </w:r>
    </w:p>
    <w:p>
      <w:pPr>
        <w:ind w:firstLine="447"/>
        <w:jc w:val="both"/>
      </w:pPr>
      <w:r>
        <w:rPr>
          <w:sz w:val="21"/>
        </w:rPr>
        <w:t>4.</w:t>
      </w:r>
      <w:r>
        <w:rPr>
          <w:sz w:val="21"/>
        </w:rPr>
        <w:t>最终的结算价格为检测项目成交单价</w:t>
      </w:r>
      <w:r>
        <w:rPr>
          <w:sz w:val="21"/>
        </w:rPr>
        <w:t>×</w:t>
      </w:r>
      <w:r>
        <w:rPr>
          <w:sz w:val="21"/>
        </w:rPr>
        <w:t>实际数量（结果四舍五入，保留</w:t>
      </w:r>
      <w:r>
        <w:rPr>
          <w:sz w:val="21"/>
        </w:rPr>
        <w:t>2</w:t>
      </w:r>
      <w:r>
        <w:rPr>
          <w:sz w:val="21"/>
        </w:rPr>
        <w:t>位小数）。</w:t>
      </w:r>
    </w:p>
    <w:p>
      <w:pPr>
        <w:ind w:firstLine="447"/>
        <w:jc w:val="both"/>
      </w:pPr>
      <w:r>
        <w:rPr>
          <w:sz w:val="21"/>
        </w:rPr>
        <w:t>5.</w:t>
      </w:r>
      <w:r>
        <w:rPr>
          <w:sz w:val="21"/>
        </w:rPr>
        <w:t>磋商小组认为响应供应商的报价明显低于其他通过资格、符合性审查响应供应商的报价，有可能影响产品质量或者不能诚信履约的，应当要求其在评审现场合理的时间内提供书面说明，必要时提交相关证明材料；响应供应商不能证明其报价合理性的，磋商小组应当将其作为无效响应处理。</w:t>
      </w:r>
    </w:p>
    <w:p>
      <w:pPr>
        <w:ind w:firstLine="447"/>
        <w:jc w:val="both"/>
      </w:pPr>
      <w:r>
        <w:rPr>
          <w:sz w:val="21"/>
        </w:rPr>
        <w:t>附件</w:t>
      </w:r>
      <w:r>
        <w:rPr>
          <w:sz w:val="21"/>
        </w:rPr>
        <w:t>1</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77"/>
        <w:gridCol w:w="2724"/>
        <w:gridCol w:w="1776"/>
        <w:gridCol w:w="3130"/>
      </w:tblGrid>
      <w:tr>
        <w:tc>
          <w:tcPr>
            <w:tcW w:type="dxa" w:w="8307"/>
            <w:gridSpan w:val="4"/>
            <w:tcBorders>
              <w:top w:val="single" w:color="000000" w:sz="4"/>
              <w:left w:val="single" w:color="000000" w:sz="4"/>
              <w:bottom w:val="single" w:color="000000" w:sz="4"/>
              <w:right w:val="single" w:color="000000" w:sz="4"/>
            </w:tcBorders>
            <w:vAlign w:val="top"/>
          </w:tcPr>
          <w:p>
            <w:pPr>
              <w:jc w:val="center"/>
            </w:pPr>
            <w:r>
              <w:rPr>
                <w:sz w:val="21"/>
              </w:rPr>
              <w:t>报价分析表</w:t>
            </w:r>
          </w:p>
        </w:tc>
      </w:tr>
      <w:tr>
        <w:tc>
          <w:tcPr>
            <w:tcW w:type="dxa" w:w="3401"/>
            <w:gridSpan w:val="2"/>
            <w:tcBorders>
              <w:top w:val="none" w:color="000000" w:sz="4"/>
              <w:left w:val="single" w:color="000000" w:sz="4"/>
              <w:bottom w:val="single" w:color="000000" w:sz="4"/>
              <w:right w:val="single" w:color="000000" w:sz="4"/>
            </w:tcBorders>
            <w:vAlign w:val="top"/>
          </w:tcPr>
          <w:p>
            <w:pPr>
              <w:jc w:val="center"/>
            </w:pPr>
            <w:r>
              <w:rPr>
                <w:sz w:val="21"/>
              </w:rPr>
              <w:t>采购项目名称：垃圾焚烧发电厂飞灰固化等项目第三方机构检测服务</w:t>
            </w:r>
          </w:p>
        </w:tc>
        <w:tc>
          <w:tcPr>
            <w:tcW w:type="dxa" w:w="4906"/>
            <w:gridSpan w:val="2"/>
            <w:tcBorders>
              <w:top w:val="none" w:color="000000" w:sz="4"/>
              <w:left w:val="none" w:color="000000" w:sz="4"/>
              <w:bottom w:val="single" w:color="000000" w:sz="4"/>
              <w:right w:val="single" w:color="000000" w:sz="4"/>
            </w:tcBorders>
            <w:vAlign w:val="top"/>
          </w:tcPr>
          <w:p>
            <w:pPr>
              <w:jc w:val="center"/>
            </w:pPr>
            <w:r>
              <w:rPr>
                <w:sz w:val="21"/>
              </w:rPr>
              <w:t>采购项目编号：</w:t>
            </w:r>
            <w:r>
              <w:rPr>
                <w:sz w:val="21"/>
              </w:rPr>
              <w:t>JF2022(NH)WS0111</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序号</w:t>
            </w:r>
          </w:p>
        </w:tc>
        <w:tc>
          <w:tcPr>
            <w:tcW w:type="dxa" w:w="2724"/>
            <w:tcBorders>
              <w:top w:val="none" w:color="000000" w:sz="4"/>
              <w:left w:val="none" w:color="000000" w:sz="4"/>
              <w:bottom w:val="single" w:color="000000" w:sz="4"/>
              <w:right w:val="single" w:color="000000" w:sz="4"/>
            </w:tcBorders>
            <w:vAlign w:val="top"/>
          </w:tcPr>
          <w:p>
            <w:pPr>
              <w:jc w:val="center"/>
            </w:pPr>
            <w:r>
              <w:rPr>
                <w:sz w:val="21"/>
              </w:rPr>
              <w:t>分项名称</w:t>
            </w:r>
          </w:p>
        </w:tc>
        <w:tc>
          <w:tcPr>
            <w:tcW w:type="dxa" w:w="1776"/>
            <w:tcBorders>
              <w:top w:val="none" w:color="000000" w:sz="4"/>
              <w:left w:val="none" w:color="000000" w:sz="4"/>
              <w:bottom w:val="single" w:color="000000" w:sz="4"/>
              <w:right w:val="single" w:color="000000" w:sz="4"/>
            </w:tcBorders>
            <w:vAlign w:val="top"/>
          </w:tcPr>
          <w:p>
            <w:pPr>
              <w:jc w:val="center"/>
            </w:pPr>
            <w:r>
              <w:rPr>
                <w:sz w:val="21"/>
              </w:rPr>
              <w:t>最高单价限价</w:t>
            </w:r>
          </w:p>
          <w:p>
            <w:pPr>
              <w:jc w:val="center"/>
            </w:pPr>
            <w:r>
              <w:rPr>
                <w:sz w:val="21"/>
              </w:rPr>
              <w:t>（元</w:t>
            </w:r>
            <w:r>
              <w:rPr>
                <w:sz w:val="21"/>
              </w:rPr>
              <w:t>/</w:t>
            </w:r>
            <w:r>
              <w:rPr>
                <w:sz w:val="21"/>
              </w:rPr>
              <w:t>样）</w:t>
            </w:r>
          </w:p>
        </w:tc>
        <w:tc>
          <w:tcPr>
            <w:tcW w:type="dxa" w:w="3130"/>
            <w:tcBorders>
              <w:top w:val="none" w:color="000000" w:sz="4"/>
              <w:left w:val="none" w:color="000000" w:sz="4"/>
              <w:bottom w:val="single" w:color="000000" w:sz="4"/>
              <w:right w:val="single" w:color="000000" w:sz="4"/>
            </w:tcBorders>
            <w:vAlign w:val="top"/>
          </w:tcPr>
          <w:p>
            <w:pPr>
              <w:jc w:val="center"/>
            </w:pPr>
            <w:r>
              <w:rPr>
                <w:sz w:val="21"/>
              </w:rPr>
              <w:t>单价</w:t>
            </w:r>
            <w:r>
              <w:rPr>
                <w:sz w:val="21"/>
              </w:rPr>
              <w:t>报价</w:t>
            </w:r>
          </w:p>
          <w:p>
            <w:pPr>
              <w:jc w:val="center"/>
            </w:pPr>
            <w:r>
              <w:rPr>
                <w:sz w:val="21"/>
              </w:rPr>
              <w:t>（元</w:t>
            </w:r>
            <w:r>
              <w:rPr>
                <w:sz w:val="21"/>
              </w:rPr>
              <w:t>/</w:t>
            </w:r>
            <w:r>
              <w:rPr>
                <w:sz w:val="21"/>
              </w:rPr>
              <w:t>样）</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724"/>
            <w:tcBorders>
              <w:top w:val="none" w:color="000000" w:sz="4"/>
              <w:left w:val="none" w:color="000000" w:sz="4"/>
              <w:bottom w:val="single" w:color="000000" w:sz="4"/>
              <w:right w:val="single" w:color="000000" w:sz="4"/>
            </w:tcBorders>
            <w:vAlign w:val="top"/>
          </w:tcPr>
          <w:p>
            <w:pPr>
              <w:ind w:firstLine="33"/>
              <w:jc w:val="center"/>
            </w:pPr>
            <w:r>
              <w:rPr>
                <w:sz w:val="21"/>
              </w:rPr>
              <w:t>飞灰固化块二噁英检测</w:t>
            </w:r>
          </w:p>
        </w:tc>
        <w:tc>
          <w:tcPr>
            <w:tcW w:type="dxa" w:w="1776"/>
            <w:tcBorders>
              <w:top w:val="none" w:color="000000" w:sz="4"/>
              <w:left w:val="none" w:color="000000" w:sz="4"/>
              <w:bottom w:val="single" w:color="000000" w:sz="4"/>
              <w:right w:val="single" w:color="000000" w:sz="4"/>
            </w:tcBorders>
            <w:vAlign w:val="top"/>
          </w:tcPr>
          <w:p>
            <w:pPr>
              <w:jc w:val="center"/>
            </w:pPr>
            <w:r>
              <w:rPr>
                <w:sz w:val="21"/>
              </w:rPr>
              <w:t>6000.00</w:t>
            </w:r>
          </w:p>
        </w:tc>
        <w:tc>
          <w:tcPr>
            <w:tcW w:type="dxa" w:w="3130"/>
            <w:tcBorders>
              <w:top w:val="none" w:color="000000" w:sz="4"/>
              <w:left w:val="none" w:color="000000" w:sz="4"/>
              <w:bottom w:val="single" w:color="000000" w:sz="4"/>
              <w:right w:val="single" w:color="000000" w:sz="4"/>
            </w:tcBorders>
            <w:vAlign w:val="top"/>
          </w:tcPr>
          <w:p>
            <w:pPr>
              <w:jc w:val="both"/>
            </w:pP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724"/>
            <w:tcBorders>
              <w:top w:val="none" w:color="000000" w:sz="4"/>
              <w:left w:val="none" w:color="000000" w:sz="4"/>
              <w:bottom w:val="single" w:color="000000" w:sz="4"/>
              <w:right w:val="single" w:color="000000" w:sz="4"/>
            </w:tcBorders>
            <w:vAlign w:val="top"/>
          </w:tcPr>
          <w:p>
            <w:pPr>
              <w:ind w:firstLine="33"/>
              <w:jc w:val="center"/>
            </w:pPr>
            <w:r>
              <w:rPr>
                <w:sz w:val="21"/>
              </w:rPr>
              <w:t>飞灰固化块浸出液毒性检测</w:t>
            </w:r>
          </w:p>
        </w:tc>
        <w:tc>
          <w:tcPr>
            <w:tcW w:type="dxa" w:w="1776"/>
            <w:tcBorders>
              <w:top w:val="none" w:color="000000" w:sz="4"/>
              <w:left w:val="none" w:color="000000" w:sz="4"/>
              <w:bottom w:val="single" w:color="000000" w:sz="4"/>
              <w:right w:val="single" w:color="000000" w:sz="4"/>
            </w:tcBorders>
            <w:vAlign w:val="top"/>
          </w:tcPr>
          <w:p>
            <w:pPr>
              <w:jc w:val="center"/>
            </w:pPr>
            <w:r>
              <w:rPr>
                <w:sz w:val="21"/>
              </w:rPr>
              <w:t>1250.00</w:t>
            </w:r>
          </w:p>
        </w:tc>
        <w:tc>
          <w:tcPr>
            <w:tcW w:type="dxa" w:w="3130"/>
            <w:tcBorders>
              <w:top w:val="none" w:color="000000" w:sz="4"/>
              <w:left w:val="none" w:color="000000" w:sz="4"/>
              <w:bottom w:val="single" w:color="000000" w:sz="4"/>
              <w:right w:val="single" w:color="000000" w:sz="4"/>
            </w:tcBorders>
            <w:vAlign w:val="top"/>
          </w:tcPr>
          <w:p>
            <w:pPr>
              <w:jc w:val="both"/>
            </w:pP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724"/>
            <w:tcBorders>
              <w:top w:val="none" w:color="000000" w:sz="4"/>
              <w:left w:val="none" w:color="000000" w:sz="4"/>
              <w:bottom w:val="single" w:color="000000" w:sz="4"/>
              <w:right w:val="single" w:color="000000" w:sz="4"/>
            </w:tcBorders>
            <w:vAlign w:val="top"/>
          </w:tcPr>
          <w:p>
            <w:pPr>
              <w:ind w:firstLine="33"/>
              <w:jc w:val="center"/>
            </w:pPr>
            <w:r>
              <w:rPr>
                <w:sz w:val="21"/>
              </w:rPr>
              <w:t>园区地表水检测</w:t>
            </w:r>
          </w:p>
        </w:tc>
        <w:tc>
          <w:tcPr>
            <w:tcW w:type="dxa" w:w="1776"/>
            <w:tcBorders>
              <w:top w:val="none" w:color="000000" w:sz="4"/>
              <w:left w:val="none" w:color="000000" w:sz="4"/>
              <w:bottom w:val="single" w:color="000000" w:sz="4"/>
              <w:right w:val="single" w:color="000000" w:sz="4"/>
            </w:tcBorders>
            <w:vAlign w:val="top"/>
          </w:tcPr>
          <w:p>
            <w:pPr>
              <w:jc w:val="center"/>
            </w:pPr>
            <w:r>
              <w:rPr>
                <w:sz w:val="21"/>
              </w:rPr>
              <w:t>1200.00</w:t>
            </w:r>
          </w:p>
        </w:tc>
        <w:tc>
          <w:tcPr>
            <w:tcW w:type="dxa" w:w="3130"/>
            <w:tcBorders>
              <w:top w:val="none" w:color="000000" w:sz="4"/>
              <w:left w:val="none" w:color="000000" w:sz="4"/>
              <w:bottom w:val="single" w:color="000000" w:sz="4"/>
              <w:right w:val="single" w:color="000000" w:sz="4"/>
            </w:tcBorders>
            <w:vAlign w:val="top"/>
          </w:tcPr>
          <w:p>
            <w:pPr>
              <w:jc w:val="both"/>
            </w:pP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724"/>
            <w:tcBorders>
              <w:top w:val="none" w:color="000000" w:sz="4"/>
              <w:left w:val="none" w:color="000000" w:sz="4"/>
              <w:bottom w:val="single" w:color="000000" w:sz="4"/>
              <w:right w:val="single" w:color="000000" w:sz="4"/>
            </w:tcBorders>
            <w:vAlign w:val="top"/>
          </w:tcPr>
          <w:p>
            <w:pPr>
              <w:ind w:firstLine="33"/>
              <w:jc w:val="center"/>
            </w:pPr>
            <w:r>
              <w:rPr>
                <w:sz w:val="21"/>
              </w:rPr>
              <w:t>填埋场地下水检测</w:t>
            </w:r>
          </w:p>
        </w:tc>
        <w:tc>
          <w:tcPr>
            <w:tcW w:type="dxa" w:w="1776"/>
            <w:tcBorders>
              <w:top w:val="none" w:color="000000" w:sz="4"/>
              <w:left w:val="none" w:color="000000" w:sz="4"/>
              <w:bottom w:val="single" w:color="000000" w:sz="4"/>
              <w:right w:val="single" w:color="000000" w:sz="4"/>
            </w:tcBorders>
            <w:vAlign w:val="top"/>
          </w:tcPr>
          <w:p>
            <w:pPr>
              <w:jc w:val="center"/>
            </w:pPr>
            <w:r>
              <w:rPr>
                <w:sz w:val="21"/>
              </w:rPr>
              <w:t>1800.00</w:t>
            </w:r>
          </w:p>
        </w:tc>
        <w:tc>
          <w:tcPr>
            <w:tcW w:type="dxa" w:w="3130"/>
            <w:tcBorders>
              <w:top w:val="none" w:color="000000" w:sz="4"/>
              <w:left w:val="none" w:color="000000" w:sz="4"/>
              <w:bottom w:val="single" w:color="000000" w:sz="4"/>
              <w:right w:val="single" w:color="000000" w:sz="4"/>
            </w:tcBorders>
            <w:vAlign w:val="top"/>
          </w:tcPr>
          <w:p>
            <w:pPr>
              <w:jc w:val="both"/>
            </w:pPr>
          </w:p>
        </w:tc>
      </w:tr>
      <w:tr>
        <w:tc>
          <w:tcPr>
            <w:tcW w:type="dxa" w:w="5177"/>
            <w:gridSpan w:val="3"/>
            <w:tcBorders>
              <w:top w:val="none" w:color="000000" w:sz="4"/>
              <w:left w:val="single" w:color="000000" w:sz="4"/>
              <w:bottom w:val="single" w:color="000000" w:sz="4"/>
              <w:right w:val="single" w:color="000000" w:sz="4"/>
            </w:tcBorders>
            <w:vAlign w:val="top"/>
          </w:tcPr>
          <w:p>
            <w:pPr>
              <w:jc w:val="center"/>
            </w:pPr>
            <w:r>
              <w:rPr>
                <w:sz w:val="21"/>
              </w:rPr>
              <w:t>磋商报价</w:t>
            </w:r>
            <w:r>
              <w:rPr>
                <w:sz w:val="21"/>
              </w:rPr>
              <w:t>=</w:t>
            </w:r>
            <w:r>
              <w:rPr>
                <w:sz w:val="21"/>
              </w:rPr>
              <w:t>飞灰固化块二噁英检测</w:t>
            </w:r>
            <w:r>
              <w:rPr>
                <w:sz w:val="21"/>
              </w:rPr>
              <w:t>单价</w:t>
            </w:r>
            <w:r>
              <w:rPr>
                <w:sz w:val="21"/>
              </w:rPr>
              <w:t>报价</w:t>
            </w:r>
            <w:r>
              <w:rPr>
                <w:sz w:val="21"/>
              </w:rPr>
              <w:t>×5%+</w:t>
            </w:r>
            <w:r>
              <w:rPr>
                <w:sz w:val="21"/>
              </w:rPr>
              <w:t>飞灰固化块浸出液毒性检测</w:t>
            </w:r>
            <w:r>
              <w:rPr>
                <w:sz w:val="21"/>
              </w:rPr>
              <w:t>单价</w:t>
            </w:r>
            <w:r>
              <w:rPr>
                <w:sz w:val="21"/>
              </w:rPr>
              <w:t>报价</w:t>
            </w:r>
            <w:r>
              <w:rPr>
                <w:sz w:val="21"/>
              </w:rPr>
              <w:t>×90%+</w:t>
            </w:r>
            <w:r>
              <w:rPr>
                <w:sz w:val="21"/>
              </w:rPr>
              <w:t>园区地表水检测</w:t>
            </w:r>
            <w:r>
              <w:rPr>
                <w:sz w:val="21"/>
              </w:rPr>
              <w:t>单价</w:t>
            </w:r>
            <w:r>
              <w:rPr>
                <w:sz w:val="21"/>
              </w:rPr>
              <w:t>报价</w:t>
            </w:r>
            <w:r>
              <w:rPr>
                <w:sz w:val="21"/>
              </w:rPr>
              <w:t>×2.5%+</w:t>
            </w:r>
            <w:r>
              <w:rPr>
                <w:sz w:val="21"/>
              </w:rPr>
              <w:t>填埋场地下水检测</w:t>
            </w:r>
            <w:r>
              <w:rPr>
                <w:sz w:val="21"/>
              </w:rPr>
              <w:t>单价</w:t>
            </w:r>
            <w:r>
              <w:rPr>
                <w:sz w:val="21"/>
              </w:rPr>
              <w:t>报价</w:t>
            </w:r>
            <w:r>
              <w:rPr>
                <w:sz w:val="21"/>
              </w:rPr>
              <w:t>×2.5%</w:t>
            </w:r>
          </w:p>
        </w:tc>
        <w:tc>
          <w:tcPr>
            <w:tcW w:type="dxa" w:w="3130"/>
            <w:tcBorders>
              <w:top w:val="none" w:color="000000" w:sz="4"/>
              <w:left w:val="none" w:color="000000" w:sz="4"/>
              <w:bottom w:val="single" w:color="000000" w:sz="4"/>
              <w:right w:val="single" w:color="000000" w:sz="4"/>
            </w:tcBorders>
            <w:vAlign w:val="top"/>
          </w:tcPr>
          <w:p>
            <w:pPr>
              <w:jc w:val="both"/>
            </w:pPr>
            <w:r>
              <w:rPr>
                <w:sz w:val="21"/>
              </w:rPr>
              <w:t>小写：</w:t>
            </w:r>
            <w:r>
              <w:rPr>
                <w:sz w:val="21"/>
              </w:rPr>
              <w:t>RMB</w:t>
            </w:r>
            <w:r>
              <w:rPr>
                <w:sz w:val="21"/>
                <w:u w:val="single"/>
              </w:rPr>
              <w:t xml:space="preserve">                     </w:t>
            </w:r>
            <w:r>
              <w:rPr>
                <w:sz w:val="21"/>
                <w:u w:val="single"/>
              </w:rPr>
              <w:t>元</w:t>
            </w:r>
            <w:r>
              <w:rPr>
                <w:sz w:val="21"/>
                <w:u w:val="single"/>
              </w:rPr>
              <w:t xml:space="preserve">       </w:t>
            </w:r>
          </w:p>
          <w:p>
            <w:pPr>
              <w:jc w:val="both"/>
            </w:pPr>
            <w:r>
              <w:rPr>
                <w:sz w:val="21"/>
              </w:rPr>
              <w:t>大写：</w:t>
            </w:r>
            <w:r>
              <w:rPr>
                <w:sz w:val="21"/>
                <w:u w:val="single"/>
              </w:rPr>
              <w:t>人民币</w:t>
            </w:r>
            <w:r>
              <w:rPr>
                <w:sz w:val="21"/>
                <w:u w:val="single"/>
              </w:rPr>
              <w:t xml:space="preserve">                              </w:t>
            </w:r>
          </w:p>
        </w:tc>
      </w:tr>
      <w:tr>
        <w:tc>
          <w:tcPr>
            <w:tcW w:type="dxa" w:w="8307"/>
            <w:gridSpan w:val="4"/>
            <w:tcBorders>
              <w:top w:val="none" w:color="000000" w:sz="4"/>
              <w:left w:val="single" w:color="000000" w:sz="4"/>
              <w:bottom w:val="single" w:color="000000" w:sz="4"/>
              <w:right w:val="single" w:color="000000" w:sz="4"/>
            </w:tcBorders>
            <w:vAlign w:val="top"/>
          </w:tcPr>
          <w:p>
            <w:pPr>
              <w:jc w:val="both"/>
            </w:pPr>
            <w:r>
              <w:rPr>
                <w:sz w:val="21"/>
              </w:rPr>
              <w:t>备注</w:t>
            </w:r>
          </w:p>
          <w:p>
            <w:pPr>
              <w:jc w:val="both"/>
            </w:pPr>
            <w:r>
              <w:rPr>
                <w:sz w:val="21"/>
              </w:rPr>
              <w:t>1.</w:t>
            </w:r>
            <w:r>
              <w:rPr>
                <w:sz w:val="21"/>
              </w:rPr>
              <w:t>单项报价包括第二章《采购需求》要求的全部内容。</w:t>
            </w:r>
          </w:p>
          <w:p>
            <w:pPr>
              <w:jc w:val="both"/>
            </w:pPr>
            <w:r>
              <w:rPr>
                <w:sz w:val="21"/>
              </w:rPr>
              <w:t>2.</w:t>
            </w:r>
            <w:r>
              <w:rPr>
                <w:sz w:val="21"/>
              </w:rPr>
              <w:t>本项目报价采用</w:t>
            </w:r>
            <w:r>
              <w:rPr>
                <w:sz w:val="21"/>
              </w:rPr>
              <w:t>单价</w:t>
            </w:r>
            <w:r>
              <w:rPr>
                <w:sz w:val="21"/>
              </w:rPr>
              <w:t>报价方式，每项报价最多保留</w:t>
            </w:r>
            <w:r>
              <w:rPr>
                <w:sz w:val="21"/>
              </w:rPr>
              <w:t>2</w:t>
            </w:r>
            <w:r>
              <w:rPr>
                <w:sz w:val="21"/>
              </w:rPr>
              <w:t>位小数。每项</w:t>
            </w:r>
            <w:r>
              <w:rPr>
                <w:sz w:val="21"/>
              </w:rPr>
              <w:t>单价</w:t>
            </w:r>
            <w:r>
              <w:rPr>
                <w:sz w:val="21"/>
              </w:rPr>
              <w:t>报价不能超过上述</w:t>
            </w:r>
            <w:r>
              <w:rPr>
                <w:sz w:val="21"/>
              </w:rPr>
              <w:t>对应</w:t>
            </w:r>
            <w:r>
              <w:rPr>
                <w:sz w:val="21"/>
              </w:rPr>
              <w:t>最高单价限价，否则作无效响应处理。</w:t>
            </w:r>
          </w:p>
          <w:p>
            <w:pPr>
              <w:jc w:val="both"/>
            </w:pPr>
            <w:r>
              <w:rPr>
                <w:sz w:val="21"/>
              </w:rPr>
              <w:t>3.</w:t>
            </w:r>
            <w:r>
              <w:rPr>
                <w:sz w:val="21"/>
              </w:rPr>
              <w:t>最终的结算价格为检测项目成交单价</w:t>
            </w:r>
            <w:r>
              <w:rPr>
                <w:sz w:val="21"/>
              </w:rPr>
              <w:t>×</w:t>
            </w:r>
            <w:r>
              <w:rPr>
                <w:sz w:val="21"/>
              </w:rPr>
              <w:t>实际数量。</w:t>
            </w:r>
          </w:p>
          <w:p>
            <w:pPr>
              <w:jc w:val="both"/>
            </w:pPr>
            <w:r>
              <w:rPr>
                <w:b/>
                <w:sz w:val="21"/>
              </w:rPr>
              <w:t>4.</w:t>
            </w:r>
            <w:r>
              <w:rPr>
                <w:b/>
                <w:sz w:val="21"/>
              </w:rPr>
              <w:t>温馨提示：</w:t>
            </w:r>
            <w:r>
              <w:rPr>
                <w:sz w:val="21"/>
              </w:rPr>
              <w:t>中文大写金额用汉字，如壹、贰、叁、肆、伍、陆、柒、捌、玖、拾、佰、仟、万、亿、元、角、分、零、整（正）等。</w:t>
            </w:r>
          </w:p>
          <w:p>
            <w:pPr>
              <w:jc w:val="both"/>
            </w:pPr>
            <w:r>
              <w:rPr>
                <w:sz w:val="21"/>
              </w:rPr>
              <w:t>5.</w:t>
            </w:r>
            <w:r>
              <w:rPr>
                <w:sz w:val="21"/>
              </w:rPr>
              <w:t>由于系统客观原因报价形式只能选取一种方式且报价要求须按照系统固定格式。根据本项目的实际需求，本项目实际的报价形式为单价报价；报价要求为各分项报价不超过最高单价限价。</w:t>
            </w:r>
          </w:p>
          <w:p>
            <w:pPr>
              <w:jc w:val="both"/>
            </w:pPr>
            <w:r>
              <w:rPr>
                <w:sz w:val="21"/>
              </w:rPr>
              <w:t>6.</w:t>
            </w:r>
            <w:r>
              <w:rPr>
                <w:sz w:val="21"/>
              </w:rPr>
              <w:t>由于系统中选了总价的报价方式，故响应供应商除须填写投标客户端的《开标一览表》和《分项报价表》还应在响应文件中递交《报价分析表》，此《报价分析表》将作为磋商文件的报价响应和价格分的计算，《报价分析表》详见附件</w:t>
            </w:r>
            <w:r>
              <w:rPr>
                <w:sz w:val="21"/>
              </w:rPr>
              <w:t>1</w:t>
            </w:r>
            <w:r>
              <w:rPr>
                <w:sz w:val="21"/>
              </w:rPr>
              <w:t>。</w:t>
            </w:r>
          </w:p>
          <w:p>
            <w:pPr>
              <w:jc w:val="both"/>
            </w:pPr>
            <w:r>
              <w:rPr>
                <w:b/>
                <w:sz w:val="21"/>
              </w:rPr>
              <w:t>7.</w:t>
            </w:r>
            <w:r>
              <w:rPr>
                <w:b/>
                <w:sz w:val="21"/>
              </w:rPr>
              <w:t>由于系统的客观原因，投标供应商可在投标客户端【报价部分】填写预算金额，故各响应供应商在投标客户端开标一览的投标总价均填写</w:t>
            </w:r>
            <w:r>
              <w:rPr>
                <w:b/>
                <w:sz w:val="21"/>
              </w:rPr>
              <w:t>“2985000.00”</w:t>
            </w:r>
            <w:r>
              <w:rPr>
                <w:b/>
                <w:sz w:val="21"/>
              </w:rPr>
              <w:t>。但价格分的计算则按照磋商报价的评审标准计算供应商递交的《报价分析表》。</w:t>
            </w:r>
          </w:p>
          <w:p>
            <w:pPr>
              <w:jc w:val="both"/>
            </w:pPr>
            <w:r>
              <w:rPr>
                <w:sz w:val="21"/>
              </w:rPr>
              <w:t>7.</w:t>
            </w:r>
            <w:r>
              <w:rPr>
                <w:sz w:val="21"/>
              </w:rPr>
              <w:t>本项目采用的远程开标方式，供应商不用到开标现场，但本项目是竞争性磋商方式需要进行最后报价，在磋商环节时，供应商可在</w:t>
            </w:r>
            <w:r>
              <w:rPr>
                <w:sz w:val="21"/>
              </w:rPr>
              <w:t>广东省政府采购智慧云平台</w:t>
            </w:r>
            <w:r>
              <w:rPr>
                <w:sz w:val="21"/>
              </w:rPr>
              <w:t>中的</w:t>
            </w:r>
            <w:r>
              <w:rPr>
                <w:sz w:val="21"/>
              </w:rPr>
              <w:t>等候大厅</w:t>
            </w:r>
            <w:r>
              <w:rPr>
                <w:sz w:val="21"/>
              </w:rPr>
              <w:t>找到该项目点击进去进行承诺与报价，系统报价可按照投标客户端填写的内容填写，同时须在附件中上传此份《报价分析表》，上传的《报价分析表》为本项目最后报价并且是价格分的计算依据，各供应商在上传前须确认清楚，按递交键后不能撤回。因为磋商时需要在规定时间内进行承诺与报价的环节，故供应商可提前准备此份《报价分析表》，以便磋商报价时及时上传。</w:t>
            </w:r>
          </w:p>
          <w:p>
            <w:pPr>
              <w:jc w:val="both"/>
            </w:pPr>
            <w:r>
              <w:rPr>
                <w:sz w:val="21"/>
              </w:rPr>
              <w:t>8.</w:t>
            </w:r>
            <w:r>
              <w:rPr>
                <w:sz w:val="21"/>
              </w:rPr>
              <w:t>此表可在磋商文件或磋商公告附件中复制。</w:t>
            </w:r>
          </w:p>
        </w:tc>
      </w:tr>
      <w:tr>
        <w:tc>
          <w:tcPr>
            <w:tcW w:type="dxa" w:w="5177"/>
            <w:gridSpan w:val="3"/>
            <w:tcBorders>
              <w:top w:val="none" w:color="000000" w:sz="4"/>
              <w:left w:val="single" w:color="000000" w:sz="4"/>
              <w:bottom w:val="single" w:color="000000" w:sz="4"/>
              <w:right w:val="single" w:color="000000" w:sz="4"/>
            </w:tcBorders>
            <w:vAlign w:val="top"/>
          </w:tcPr>
          <w:p>
            <w:pPr>
              <w:jc w:val="center"/>
            </w:pPr>
            <w:r>
              <w:rPr>
                <w:b/>
                <w:sz w:val="21"/>
              </w:rPr>
              <w:t>供应商确认</w:t>
            </w:r>
          </w:p>
        </w:tc>
        <w:tc>
          <w:tcPr>
            <w:tcW w:type="dxa" w:w="3130"/>
            <w:tcBorders>
              <w:top w:val="none" w:color="000000" w:sz="4"/>
              <w:left w:val="none" w:color="000000" w:sz="4"/>
              <w:bottom w:val="single" w:color="000000" w:sz="4"/>
              <w:right w:val="single" w:color="000000" w:sz="4"/>
            </w:tcBorders>
            <w:vAlign w:val="top"/>
          </w:tcPr>
          <w:p>
            <w:pPr>
              <w:jc w:val="both"/>
            </w:pPr>
            <w:r>
              <w:rPr>
                <w:sz w:val="21"/>
              </w:rPr>
              <w:t>响应供应商盖章或签章：</w:t>
            </w:r>
          </w:p>
          <w:p>
            <w:pPr>
              <w:jc w:val="both"/>
            </w:pPr>
            <w:r>
              <w:rPr>
                <w:sz w:val="21"/>
              </w:rPr>
              <w:t>日期：</w:t>
            </w:r>
            <w:r>
              <w:rPr>
                <w:sz w:val="21"/>
              </w:rPr>
              <w:t xml:space="preserve">  年 月  日</w:t>
            </w:r>
          </w:p>
        </w:tc>
      </w:tr>
    </w:tbl>
    <w:p/>
    <w:p>
      <w:pPr>
        <w:ind w:firstLine="349"/>
      </w:pPr>
    </w:p>
    <w:p/>
    <w:p/>
    <w:p/>
    <w:p>
      <w:pPr>
        <w:ind w:firstLine="480"/>
      </w:pPr>
    </w:p>
    <w:p/>
    <w:p>
      <w:r>
        <w:rPr/>
        <w:t>采购包1（垃圾焚烧发电厂飞灰固化等项目第三方机构检测服务）：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合同签订并生效之日起3年，合同每年签订1次</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按季度结算，每季度结束后的10个工作日内进行结算，成交人向采购人开具有效的全额发票。成交人凭以下有效证明文件由采购人支付货款：①合同；②成交人开具的正式全额发票；③请款季度的所有检测报告（加盖成交单位公章）；④成交通知书。 1）</w:t>
              <w:tab/>
              <w:t>因采购人使用的是财政资金，采购人在前款规定的付款时间为向政府采购支付部门提出办理财政支付申请手续的时间（不含政府财政支付部门审核的时间），在规定时间内提出支付申请手续后即视为采购人是按期支付。 2）不可预见的付款滞后情况。采购人按照现时国家法规标准开展检测工作，一旦相关检测法规变动将有可能导致标的内容发生变化（例如检测指标数量、次数、标准等）。由于本项目费用由采购人逐年（当年9月）向财政部门申请次年预算费用，若在次年发生上述变动情况，增加成交人的相关检测费用，该部分增加的费用将由采购人在次年开展的预算工作中增加，不足已支付的部分费用将延后支付。</w:t>
            </w:r>
          </w:p>
        </w:tc>
      </w:tr>
      <w:tr>
        <w:tc>
          <w:tcPr>
            <w:tcW w:type="dxa" w:w="4153"/>
          </w:tcPr>
          <w:p>
            <w:r>
              <w:rPr/>
              <w:t>验收要求</w:t>
            </w:r>
          </w:p>
        </w:tc>
        <w:tc>
          <w:tcPr>
            <w:tcW w:type="dxa" w:w="4153"/>
          </w:tcPr>
          <w:p>
            <w:pPr>
              <w:jc w:val="left"/>
            </w:pPr>
          </w:p>
          <w:p/>
          <w:p/>
          <w:p>
            <w:r>
              <w:rPr/>
              <w:t>1期：1）成交人应具备完整的质量保证体系和严格的规章制度。2）取样、检测方法符合国家标准、规范。飞灰固化块浸出毒性方法：《固体废物浸出毒性浸出方法醋酸缓冲溶液法》（HJ/T300-2007）、《危险废物鉴别标准浸出毒性鉴别》（GB5085.3-2007）。如国家相关标准、规范更新，按新颁布的执行。3）成交人对检测数据的准确性、真实性负责，出具的检测报告具有公正性、科学性、权威性。4）取样结束后，水体检测项目7个工作日内、固化块检测项目10个工作日内向采购人提交正式检测报告。</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资金说明:本项目采购人三年的预算金额为2985000.00元，但根据区财政局2022年项目预算资金安排，2022年财政实际下达第三方监管项目的控制金额为99.72万元，2023-2024年度的年度合同金额根据当年度财政预算安排及供应商履约情况执行。合同执行时最终以实际完成数量进行结算，且不超过合同期间财政下达的控制金额。若财政预算资金无法按计划审批拨付，采购人有权不与成交人续签合同且不作任何补偿。在服务期内，成交单价不作调整，成交人应充分考虑经营风险并不以此对抗采购人、采购代理机构及采购管理等部门。</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技术测试和分析服务</w:t>
            </w:r>
          </w:p>
        </w:tc>
        <w:tc>
          <w:tcPr>
            <w:tcW w:type="dxa" w:w="1923"/>
          </w:tcPr>
          <w:p>
            <w:r>
              <w:rPr/>
              <w:t>垃圾焚烧发电厂飞灰固化等项目第三方机构检测服务</w:t>
            </w:r>
          </w:p>
        </w:tc>
        <w:tc>
          <w:tcPr>
            <w:tcW w:type="dxa" w:w="385"/>
          </w:tcPr>
          <w:p>
            <w:r>
              <w:rPr/>
              <w:t>项</w:t>
            </w:r>
          </w:p>
        </w:tc>
        <w:tc>
          <w:tcPr>
            <w:tcW w:type="dxa" w:w="769"/>
          </w:tcPr>
          <w:p>
            <w:pPr>
              <w:jc w:val="right"/>
            </w:pPr>
            <w:r>
              <w:rPr/>
              <w:t>1.0000</w:t>
            </w:r>
          </w:p>
        </w:tc>
        <w:tc>
          <w:tcPr>
            <w:tcW w:type="dxa" w:w="769"/>
          </w:tcPr>
          <w:p>
            <w:pPr>
              <w:jc w:val="right"/>
            </w:pPr>
            <w:r>
              <w:rPr/>
              <w:t>2,985,000.00</w:t>
            </w:r>
          </w:p>
        </w:tc>
        <w:tc>
          <w:tcPr>
            <w:tcW w:type="dxa" w:w="769"/>
          </w:tcPr>
          <w:p>
            <w:pPr>
              <w:jc w:val="right"/>
            </w:pPr>
            <w:r>
              <w:rPr/>
              <w:t>2,985,000.00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垃圾焚烧发电厂飞灰固化等项目第三方机构检测服务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color w:val="000000"/>
                <w:sz w:val="21"/>
              </w:rPr>
              <w:t>采购内容</w:t>
            </w:r>
          </w:p>
          <w:p>
            <w:r>
              <w:rPr>
                <w:color w:val="000000"/>
                <w:sz w:val="21"/>
              </w:rPr>
              <w:t>（1）南海垃圾焚烧发电厂园区排水</w:t>
            </w:r>
          </w:p>
          <w:p>
            <w:r>
              <w:rPr>
                <w:sz w:val="21"/>
              </w:rPr>
              <w:t>南海固废处理环保产业园所有外排水均排至位于园区东北侧的海灵王水库，排放水主要来源于园区雨水、地面冲洗水等，根据环评要求，需每年对园区排放水进行两次取样检测，监测项目包括：pH、CODcr、BOD5、SS、氨氮、磷酸（以P计）、LAS、动植物油、色度、总铜、总锌、总锰，共12项，其中pH、CODcr、BOD5、氨氮、总铜、总锌执行《地表水环境质量标准》（GB3838-2002）IV类标准；SS、磷酸（以P计）、LAS、动植物油、色度、总锰执行《广东省水污染排放限值》（DB44/26-2001）第二时段二级标准 ，对排水每年检测2次，共2个取水点，由成交人取样检测。</w:t>
            </w:r>
          </w:p>
        </w:tc>
      </w:tr>
      <w:tr>
        <w:tc>
          <w:tcPr>
            <w:tcW w:type="dxa" w:w="2076"/>
          </w:tcPr>
          <w:p/>
        </w:tc>
        <w:tc>
          <w:tcPr>
            <w:tcW w:type="dxa" w:w="415"/>
          </w:tcPr>
          <w:p>
            <w:r>
              <w:rPr/>
              <w:t>2</w:t>
            </w:r>
          </w:p>
        </w:tc>
        <w:tc>
          <w:tcPr>
            <w:tcW w:type="dxa" w:w="5814"/>
          </w:tcPr>
          <w:p>
            <w:r>
              <w:rPr>
                <w:b/>
                <w:color w:val="000000"/>
                <w:sz w:val="21"/>
              </w:rPr>
              <w:t>采购内容</w:t>
            </w:r>
          </w:p>
          <w:p>
            <w:r>
              <w:rPr>
                <w:color w:val="000000"/>
                <w:sz w:val="21"/>
              </w:rPr>
              <w:t>（2）飞灰处置厂固化后的飞灰</w:t>
            </w:r>
          </w:p>
          <w:p>
            <w:r>
              <w:rPr>
                <w:color w:val="000000"/>
                <w:sz w:val="21"/>
              </w:rPr>
              <w:t>飞灰处置厂运营方为绿电公司，分为一厂飞灰处置厂、二厂飞灰处置厂和三厂飞灰处置厂，目前主要采用螯合剂加水的方式进行稳定化处理：将从余热锅炉和烟气处理系统收集的飞灰和螯合剂、水经计量配比后搅拌后将物料做成固化块，经适当时间养护后外运至填埋场填埋。</w:t>
            </w:r>
          </w:p>
          <w:p>
            <w:r>
              <w:rPr>
                <w:color w:val="000000"/>
                <w:sz w:val="21"/>
              </w:rPr>
              <w:t>垃圾焚烧厂产生的飞灰经稳定化处理后送往小塘灰渣无害化处置场填埋处理，飞灰固化块执行《生活垃圾填埋场污染物控制标准》</w:t>
            </w:r>
            <w:r>
              <w:rPr>
                <w:color w:val="000000"/>
                <w:sz w:val="21"/>
              </w:rPr>
              <w:t>GB16889-2008</w:t>
            </w:r>
            <w:r>
              <w:rPr>
                <w:color w:val="000000"/>
                <w:sz w:val="21"/>
              </w:rPr>
              <w:t>。根据标准要求飞灰固化块日常检测周期为每星期一次采样检测（若遇到特殊情况，如疫情封闭管控不能进厂等情况，每周检查时间可延后，未必一定为星期一），每次</w:t>
            </w:r>
            <w:r>
              <w:rPr>
                <w:color w:val="000000"/>
                <w:sz w:val="21"/>
              </w:rPr>
              <w:t>15</w:t>
            </w:r>
            <w:r>
              <w:rPr>
                <w:color w:val="000000"/>
                <w:sz w:val="21"/>
              </w:rPr>
              <w:t>个样品（一厂、二厂和三厂各</w:t>
            </w:r>
            <w:r>
              <w:rPr>
                <w:color w:val="000000"/>
                <w:sz w:val="21"/>
              </w:rPr>
              <w:t>5</w:t>
            </w:r>
            <w:r>
              <w:rPr>
                <w:color w:val="000000"/>
                <w:sz w:val="21"/>
              </w:rPr>
              <w:t>个），检测项目一共</w:t>
            </w:r>
            <w:r>
              <w:rPr>
                <w:color w:val="000000"/>
                <w:sz w:val="21"/>
              </w:rPr>
              <w:t>13</w:t>
            </w:r>
            <w:r>
              <w:rPr>
                <w:color w:val="000000"/>
                <w:sz w:val="21"/>
              </w:rPr>
              <w:t>项，包括含水率及汞、铜、锌、铅、镉、铍、钡、镍、砷、总铬、六价铬、硒；其中飞灰固化块产生的二噁英每年检测频率为</w:t>
            </w:r>
            <w:r>
              <w:rPr>
                <w:color w:val="000000"/>
                <w:sz w:val="21"/>
              </w:rPr>
              <w:t>2</w:t>
            </w:r>
            <w:r>
              <w:rPr>
                <w:color w:val="000000"/>
                <w:sz w:val="21"/>
              </w:rPr>
              <w:t>次，（三家焚烧厂各取</w:t>
            </w:r>
            <w:r>
              <w:rPr>
                <w:color w:val="000000"/>
                <w:sz w:val="21"/>
              </w:rPr>
              <w:t>1</w:t>
            </w:r>
            <w:r>
              <w:rPr>
                <w:color w:val="000000"/>
                <w:sz w:val="21"/>
              </w:rPr>
              <w:t>个样），全部由成交人取样检测。</w:t>
            </w:r>
          </w:p>
          <w:p>
            <w:r>
              <w:rPr>
                <w:sz w:val="21"/>
              </w:rPr>
              <w:t>飞灰固化块二噁英检测须符合《飞灰固化块 GB16889-2008 二噁英》的检测要求，如供应商无法满足此要求的，可委派给具有相应资质的单位进行检测，检测的要求需按磋商文件要求、时间和检测标准执行，由此产生的费用由供应商承担。</w:t>
            </w:r>
          </w:p>
        </w:tc>
      </w:tr>
      <w:tr>
        <w:tc>
          <w:tcPr>
            <w:tcW w:type="dxa" w:w="2076"/>
          </w:tcPr>
          <w:p/>
        </w:tc>
        <w:tc>
          <w:tcPr>
            <w:tcW w:type="dxa" w:w="415"/>
          </w:tcPr>
          <w:p>
            <w:r>
              <w:rPr/>
              <w:t>3</w:t>
            </w:r>
          </w:p>
        </w:tc>
        <w:tc>
          <w:tcPr>
            <w:tcW w:type="dxa" w:w="5814"/>
          </w:tcPr>
          <w:p>
            <w:r>
              <w:rPr>
                <w:b/>
                <w:color w:val="000000"/>
                <w:sz w:val="21"/>
              </w:rPr>
              <w:t>采购内容</w:t>
            </w:r>
          </w:p>
          <w:p>
            <w:r>
              <w:rPr>
                <w:color w:val="000000"/>
                <w:sz w:val="21"/>
              </w:rPr>
              <w:t>（</w:t>
            </w:r>
            <w:r>
              <w:rPr>
                <w:color w:val="000000"/>
                <w:sz w:val="21"/>
              </w:rPr>
              <w:t>3</w:t>
            </w:r>
            <w:r>
              <w:rPr>
                <w:color w:val="000000"/>
                <w:sz w:val="21"/>
              </w:rPr>
              <w:t>）小塘灰渣无害化处置场地下水</w:t>
            </w:r>
          </w:p>
          <w:p>
            <w:r>
              <w:rPr>
                <w:color w:val="000000"/>
                <w:sz w:val="21"/>
              </w:rPr>
              <w:t>小塘灰渣无害化处置场运营方为佛山市领域工业固体废物处理有限公司，位于南海区狮山镇狮岭原走马营雄风石矿场内，一期设计规模为</w:t>
            </w:r>
            <w:r>
              <w:rPr>
                <w:color w:val="000000"/>
                <w:sz w:val="21"/>
              </w:rPr>
              <w:t>10</w:t>
            </w:r>
            <w:r>
              <w:rPr>
                <w:color w:val="000000"/>
                <w:sz w:val="21"/>
              </w:rPr>
              <w:t>万</w:t>
            </w:r>
            <w:r>
              <w:rPr>
                <w:color w:val="000000"/>
                <w:sz w:val="21"/>
              </w:rPr>
              <w:t>m3</w:t>
            </w:r>
            <w:r>
              <w:rPr>
                <w:color w:val="000000"/>
                <w:sz w:val="21"/>
              </w:rPr>
              <w:t>，于</w:t>
            </w:r>
            <w:r>
              <w:rPr>
                <w:color w:val="000000"/>
                <w:sz w:val="21"/>
              </w:rPr>
              <w:t>2012</w:t>
            </w:r>
            <w:r>
              <w:rPr>
                <w:color w:val="000000"/>
                <w:sz w:val="21"/>
              </w:rPr>
              <w:t>年</w:t>
            </w:r>
            <w:r>
              <w:rPr>
                <w:color w:val="000000"/>
                <w:sz w:val="21"/>
              </w:rPr>
              <w:t>11</w:t>
            </w:r>
            <w:r>
              <w:rPr>
                <w:color w:val="000000"/>
                <w:sz w:val="21"/>
              </w:rPr>
              <w:t>月建成投运。现有一期工程填埋库区面积</w:t>
            </w:r>
            <w:r>
              <w:rPr>
                <w:color w:val="000000"/>
                <w:sz w:val="21"/>
              </w:rPr>
              <w:t>17295m2</w:t>
            </w:r>
            <w:r>
              <w:rPr>
                <w:color w:val="000000"/>
                <w:sz w:val="21"/>
              </w:rPr>
              <w:t>，库容</w:t>
            </w:r>
            <w:r>
              <w:rPr>
                <w:color w:val="000000"/>
                <w:sz w:val="21"/>
              </w:rPr>
              <w:t>10</w:t>
            </w:r>
            <w:r>
              <w:rPr>
                <w:color w:val="000000"/>
                <w:sz w:val="21"/>
              </w:rPr>
              <w:t>万</w:t>
            </w:r>
            <w:r>
              <w:rPr>
                <w:color w:val="000000"/>
                <w:sz w:val="21"/>
              </w:rPr>
              <w:t>m3</w:t>
            </w:r>
            <w:r>
              <w:rPr>
                <w:color w:val="000000"/>
                <w:sz w:val="21"/>
              </w:rPr>
              <w:t>；新增扩建区域二期占地面积</w:t>
            </w:r>
            <w:r>
              <w:rPr>
                <w:color w:val="000000"/>
                <w:sz w:val="21"/>
              </w:rPr>
              <w:t>102397m2</w:t>
            </w:r>
            <w:r>
              <w:rPr>
                <w:color w:val="000000"/>
                <w:sz w:val="21"/>
              </w:rPr>
              <w:t>，占地位置位于现有工程的南侧，库容为</w:t>
            </w:r>
            <w:r>
              <w:rPr>
                <w:color w:val="000000"/>
                <w:sz w:val="21"/>
              </w:rPr>
              <w:t>250.9</w:t>
            </w:r>
            <w:r>
              <w:rPr>
                <w:color w:val="000000"/>
                <w:sz w:val="21"/>
              </w:rPr>
              <w:t>万</w:t>
            </w:r>
            <w:r>
              <w:rPr>
                <w:color w:val="000000"/>
                <w:sz w:val="21"/>
              </w:rPr>
              <w:t>m3</w:t>
            </w:r>
            <w:r>
              <w:rPr>
                <w:color w:val="000000"/>
                <w:sz w:val="21"/>
              </w:rPr>
              <w:t>（含现有工程库容</w:t>
            </w:r>
            <w:r>
              <w:rPr>
                <w:color w:val="000000"/>
                <w:sz w:val="21"/>
              </w:rPr>
              <w:t>10</w:t>
            </w:r>
            <w:r>
              <w:rPr>
                <w:color w:val="000000"/>
                <w:sz w:val="21"/>
              </w:rPr>
              <w:t>万</w:t>
            </w:r>
            <w:r>
              <w:rPr>
                <w:color w:val="000000"/>
                <w:sz w:val="21"/>
              </w:rPr>
              <w:t>m3</w:t>
            </w:r>
            <w:r>
              <w:rPr>
                <w:color w:val="000000"/>
                <w:sz w:val="21"/>
              </w:rPr>
              <w:t>）。填埋场污水统一收集至污水收集池，经过污水预处理系统进行预处理，再用专用槽车将污水外运至市政污水处理厂处理。</w:t>
            </w:r>
          </w:p>
          <w:p>
            <w:r>
              <w:rPr>
                <w:sz w:val="21"/>
              </w:rPr>
              <w:t>根据</w:t>
            </w:r>
            <w:r>
              <w:rPr>
                <w:sz w:val="21"/>
              </w:rPr>
              <w:t>“</w:t>
            </w:r>
            <w:r>
              <w:rPr>
                <w:sz w:val="21"/>
              </w:rPr>
              <w:t>佛山市领域工业固体废物处理有限公司填埋场改扩建工程</w:t>
            </w:r>
            <w:r>
              <w:rPr>
                <w:sz w:val="21"/>
              </w:rPr>
              <w:t>”</w:t>
            </w:r>
            <w:r>
              <w:rPr>
                <w:sz w:val="21"/>
              </w:rPr>
              <w:t>《建设项目竣工环境保护验收调查报告》的要求，需每季度对填埋场地下水进行一次取样检测，每次取</w:t>
            </w:r>
            <w:r>
              <w:rPr>
                <w:sz w:val="21"/>
              </w:rPr>
              <w:t>3</w:t>
            </w:r>
            <w:r>
              <w:rPr>
                <w:sz w:val="21"/>
              </w:rPr>
              <w:t>个样品（共</w:t>
            </w:r>
            <w:r>
              <w:rPr>
                <w:sz w:val="21"/>
              </w:rPr>
              <w:t>3</w:t>
            </w:r>
            <w:r>
              <w:rPr>
                <w:sz w:val="21"/>
              </w:rPr>
              <w:t>个地下水井，每个井取</w:t>
            </w:r>
            <w:r>
              <w:rPr>
                <w:sz w:val="21"/>
              </w:rPr>
              <w:t>1</w:t>
            </w:r>
            <w:r>
              <w:rPr>
                <w:sz w:val="21"/>
              </w:rPr>
              <w:t>个样），监测因子包括</w:t>
            </w:r>
            <w:r>
              <w:rPr>
                <w:sz w:val="21"/>
              </w:rPr>
              <w:t>21</w:t>
            </w:r>
            <w:r>
              <w:rPr>
                <w:sz w:val="21"/>
              </w:rPr>
              <w:t>项：</w:t>
            </w:r>
            <w:r>
              <w:rPr>
                <w:sz w:val="21"/>
              </w:rPr>
              <w:t>pH</w:t>
            </w:r>
            <w:r>
              <w:rPr>
                <w:sz w:val="21"/>
              </w:rPr>
              <w:t>、耗氧量、硝酸盐、亚硝酸盐、氨氮、挥发酚、氟化物、总硬度、溶解性总固体、总大肠菌群、铍、钡、砷、汞、铅、镉、铜、锌、镍、硒、六价铬，执行《地下水环境质量标准》</w:t>
            </w:r>
            <w:r>
              <w:rPr>
                <w:sz w:val="21"/>
              </w:rPr>
              <w:t>GB/T14848-2017</w:t>
            </w:r>
            <w:r>
              <w:rPr>
                <w:sz w:val="21"/>
              </w:rPr>
              <w:t>Ⅲ类标准。对小塘灰渣无害化处置场地下水每季度检测</w:t>
            </w:r>
            <w:r>
              <w:rPr>
                <w:sz w:val="21"/>
              </w:rPr>
              <w:t>1</w:t>
            </w:r>
            <w:r>
              <w:rPr>
                <w:sz w:val="21"/>
              </w:rPr>
              <w:t>次，每次</w:t>
            </w:r>
            <w:r>
              <w:rPr>
                <w:sz w:val="21"/>
              </w:rPr>
              <w:t>3</w:t>
            </w:r>
            <w:r>
              <w:rPr>
                <w:sz w:val="21"/>
              </w:rPr>
              <w:t>个水样，由成交人取样检测。</w:t>
            </w:r>
          </w:p>
        </w:tc>
      </w:tr>
      <w:tr>
        <w:tc>
          <w:tcPr>
            <w:tcW w:type="dxa" w:w="2076"/>
          </w:tcPr>
          <w:p/>
        </w:tc>
        <w:tc>
          <w:tcPr>
            <w:tcW w:type="dxa" w:w="415"/>
          </w:tcPr>
          <w:p>
            <w:r>
              <w:rPr/>
              <w:t>4</w:t>
            </w:r>
          </w:p>
        </w:tc>
        <w:tc>
          <w:tcPr>
            <w:tcW w:type="dxa" w:w="5814"/>
          </w:tcPr>
          <w:p>
            <w:r>
              <w:rPr>
                <w:b/>
                <w:color w:val="000000"/>
                <w:sz w:val="21"/>
              </w:rPr>
              <w:t>采购内容</w:t>
            </w:r>
          </w:p>
          <w:p>
            <w:r>
              <w:rPr>
                <w:color w:val="000000"/>
                <w:sz w:val="21"/>
              </w:rPr>
              <w:t>（4）检测内容</w:t>
            </w:r>
          </w:p>
          <w:tbl>
            <w:tblGrid>
              <w:gridCol w:w="914"/>
              <w:gridCol w:w="1257"/>
              <w:gridCol w:w="1428"/>
              <w:gridCol w:w="685"/>
              <w:gridCol w:w="685"/>
              <w:gridCol w:w="628"/>
            </w:tblGrid>
            <w:tr>
              <w:tc>
                <w:tcPr>
                  <w:tcW w:type="dxa" w:w="914"/>
                  <w:tcBorders>
                    <w:top w:val="single" w:color="000000" w:sz="4"/>
                    <w:left w:val="single" w:color="000000" w:sz="4"/>
                    <w:bottom w:val="single" w:color="000000" w:sz="4"/>
                    <w:right w:val="single" w:color="000000" w:sz="4"/>
                  </w:tcBorders>
                </w:tcPr>
                <w:p>
                  <w:pPr>
                    <w:jc w:val="center"/>
                  </w:pPr>
                  <w:r>
                    <w:rPr>
                      <w:color w:val="000000"/>
                      <w:sz w:val="21"/>
                    </w:rPr>
                    <w:t>项目</w:t>
                  </w:r>
                </w:p>
              </w:tc>
              <w:tc>
                <w:tcPr>
                  <w:tcW w:type="dxa" w:w="1257"/>
                  <w:tcBorders>
                    <w:top w:val="single" w:color="000000" w:sz="4"/>
                    <w:left w:val="none" w:color="000000" w:sz="4"/>
                    <w:bottom w:val="single" w:color="000000" w:sz="4"/>
                    <w:right w:val="single" w:color="000000" w:sz="4"/>
                  </w:tcBorders>
                </w:tcPr>
                <w:p>
                  <w:pPr>
                    <w:jc w:val="center"/>
                  </w:pPr>
                  <w:r>
                    <w:rPr>
                      <w:color w:val="000000"/>
                      <w:sz w:val="21"/>
                    </w:rPr>
                    <w:t>执行标准</w:t>
                  </w:r>
                </w:p>
              </w:tc>
              <w:tc>
                <w:tcPr>
                  <w:tcW w:type="dxa" w:w="1428"/>
                  <w:tcBorders>
                    <w:top w:val="single" w:color="000000" w:sz="4"/>
                    <w:left w:val="none" w:color="000000" w:sz="4"/>
                    <w:bottom w:val="single" w:color="000000" w:sz="4"/>
                    <w:right w:val="single" w:color="000000" w:sz="4"/>
                  </w:tcBorders>
                </w:tcPr>
                <w:p>
                  <w:pPr>
                    <w:jc w:val="center"/>
                  </w:pPr>
                  <w:r>
                    <w:rPr>
                      <w:color w:val="000000"/>
                      <w:sz w:val="21"/>
                    </w:rPr>
                    <w:t>检测指标</w:t>
                  </w:r>
                </w:p>
              </w:tc>
              <w:tc>
                <w:tcPr>
                  <w:tcW w:type="dxa" w:w="685"/>
                  <w:tcBorders>
                    <w:top w:val="single" w:color="000000" w:sz="4"/>
                    <w:left w:val="none" w:color="000000" w:sz="4"/>
                    <w:bottom w:val="single" w:color="000000" w:sz="4"/>
                    <w:right w:val="single" w:color="000000" w:sz="4"/>
                  </w:tcBorders>
                </w:tcPr>
                <w:p>
                  <w:pPr>
                    <w:jc w:val="center"/>
                  </w:pPr>
                  <w:r>
                    <w:rPr>
                      <w:color w:val="000000"/>
                      <w:sz w:val="21"/>
                    </w:rPr>
                    <w:t>采样地点</w:t>
                  </w:r>
                </w:p>
              </w:tc>
              <w:tc>
                <w:tcPr>
                  <w:tcW w:type="dxa" w:w="685"/>
                  <w:tcBorders>
                    <w:top w:val="single" w:color="000000" w:sz="4"/>
                    <w:left w:val="none" w:color="000000" w:sz="4"/>
                    <w:bottom w:val="single" w:color="000000" w:sz="4"/>
                    <w:right w:val="single" w:color="000000" w:sz="4"/>
                  </w:tcBorders>
                </w:tcPr>
                <w:p>
                  <w:pPr>
                    <w:jc w:val="center"/>
                  </w:pPr>
                  <w:r>
                    <w:rPr>
                      <w:color w:val="000000"/>
                      <w:sz w:val="21"/>
                    </w:rPr>
                    <w:t>采样频率</w:t>
                  </w:r>
                </w:p>
              </w:tc>
              <w:tc>
                <w:tcPr>
                  <w:tcW w:type="dxa" w:w="628"/>
                  <w:tcBorders>
                    <w:top w:val="single" w:color="000000" w:sz="4"/>
                    <w:left w:val="none" w:color="000000" w:sz="4"/>
                    <w:bottom w:val="single" w:color="000000" w:sz="4"/>
                    <w:right w:val="single" w:color="000000" w:sz="4"/>
                  </w:tcBorders>
                </w:tcPr>
                <w:p>
                  <w:pPr>
                    <w:jc w:val="center"/>
                  </w:pPr>
                  <w:r>
                    <w:rPr>
                      <w:color w:val="000000"/>
                      <w:sz w:val="21"/>
                    </w:rPr>
                    <w:t>单次样品</w:t>
                  </w:r>
                  <w:r>
                    <w:br/>
                  </w:r>
                  <w:r>
                    <w:rPr>
                      <w:color w:val="000000"/>
                      <w:sz w:val="21"/>
                    </w:rPr>
                    <w:t>数量</w:t>
                  </w:r>
                </w:p>
              </w:tc>
            </w:tr>
            <w:tr>
              <w:tc>
                <w:tcPr>
                  <w:tcW w:type="dxa" w:w="914"/>
                  <w:tcBorders>
                    <w:top w:val="none" w:color="000000" w:sz="4"/>
                    <w:left w:val="single" w:color="000000" w:sz="4"/>
                    <w:bottom w:val="single" w:color="000000" w:sz="4"/>
                    <w:right w:val="single" w:color="000000" w:sz="4"/>
                  </w:tcBorders>
                </w:tcPr>
                <w:p>
                  <w:pPr>
                    <w:jc w:val="center"/>
                  </w:pPr>
                  <w:r>
                    <w:rPr>
                      <w:color w:val="000000"/>
                      <w:sz w:val="21"/>
                    </w:rPr>
                    <w:t>飞灰固化块二噁英检测</w:t>
                  </w:r>
                </w:p>
              </w:tc>
              <w:tc>
                <w:tcPr>
                  <w:tcW w:type="dxa" w:w="1257"/>
                  <w:tcBorders>
                    <w:top w:val="none" w:color="000000" w:sz="4"/>
                    <w:left w:val="none" w:color="000000" w:sz="4"/>
                    <w:bottom w:val="single" w:color="000000" w:sz="4"/>
                    <w:right w:val="single" w:color="000000" w:sz="4"/>
                  </w:tcBorders>
                </w:tcPr>
                <w:p>
                  <w:pPr>
                    <w:jc w:val="center"/>
                  </w:pPr>
                  <w:r>
                    <w:rPr>
                      <w:color w:val="000000"/>
                      <w:sz w:val="21"/>
                    </w:rPr>
                    <w:t>GB16889-2008</w:t>
                  </w:r>
                </w:p>
              </w:tc>
              <w:tc>
                <w:tcPr>
                  <w:tcW w:type="dxa" w:w="1428"/>
                  <w:tcBorders>
                    <w:top w:val="none" w:color="000000" w:sz="4"/>
                    <w:left w:val="none" w:color="000000" w:sz="4"/>
                    <w:bottom w:val="single" w:color="000000" w:sz="4"/>
                    <w:right w:val="single" w:color="000000" w:sz="4"/>
                  </w:tcBorders>
                </w:tcPr>
                <w:p>
                  <w:pPr>
                    <w:jc w:val="center"/>
                  </w:pPr>
                  <w:r>
                    <w:rPr>
                      <w:color w:val="000000"/>
                      <w:sz w:val="21"/>
                    </w:rPr>
                    <w:t>二噁英</w:t>
                  </w:r>
                </w:p>
              </w:tc>
              <w:tc>
                <w:tcPr>
                  <w:tcW w:type="dxa" w:w="685"/>
                  <w:vMerge w:val="restart"/>
                  <w:tcBorders>
                    <w:top w:val="none" w:color="000000" w:sz="4"/>
                    <w:left w:val="none" w:color="000000" w:sz="4"/>
                    <w:bottom w:val="single" w:color="000000" w:sz="4"/>
                    <w:right w:val="single" w:color="000000" w:sz="4"/>
                  </w:tcBorders>
                </w:tcPr>
                <w:p>
                  <w:pPr>
                    <w:jc w:val="center"/>
                  </w:pPr>
                  <w:r>
                    <w:rPr>
                      <w:color w:val="000000"/>
                      <w:sz w:val="21"/>
                    </w:rPr>
                    <w:t>环保产业园</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2</w:t>
                  </w:r>
                  <w:r>
                    <w:rPr>
                      <w:color w:val="000000"/>
                      <w:sz w:val="21"/>
                    </w:rPr>
                    <w:t>次</w:t>
                  </w:r>
                  <w:r>
                    <w:rPr>
                      <w:color w:val="000000"/>
                      <w:sz w:val="21"/>
                    </w:rPr>
                    <w:t>/</w:t>
                  </w:r>
                  <w:r>
                    <w:rPr>
                      <w:color w:val="000000"/>
                      <w:sz w:val="21"/>
                    </w:rPr>
                    <w:t>年</w:t>
                  </w:r>
                </w:p>
              </w:tc>
              <w:tc>
                <w:tcPr>
                  <w:tcW w:type="dxa" w:w="628"/>
                  <w:tcBorders>
                    <w:top w:val="none" w:color="000000" w:sz="4"/>
                    <w:left w:val="none" w:color="000000" w:sz="4"/>
                    <w:bottom w:val="single" w:color="000000" w:sz="4"/>
                    <w:right w:val="single" w:color="000000" w:sz="4"/>
                  </w:tcBorders>
                </w:tcPr>
                <w:p>
                  <w:pPr>
                    <w:jc w:val="center"/>
                  </w:pPr>
                  <w:r>
                    <w:rPr>
                      <w:color w:val="000000"/>
                      <w:sz w:val="21"/>
                    </w:rPr>
                    <w:t>3</w:t>
                  </w:r>
                  <w:r>
                    <w:rPr>
                      <w:color w:val="000000"/>
                      <w:sz w:val="21"/>
                    </w:rPr>
                    <w:t>个</w:t>
                  </w:r>
                </w:p>
              </w:tc>
            </w:tr>
            <w:tr>
              <w:tc>
                <w:tcPr>
                  <w:tcW w:type="dxa" w:w="914"/>
                  <w:tcBorders>
                    <w:top w:val="none" w:color="000000" w:sz="4"/>
                    <w:left w:val="single" w:color="000000" w:sz="4"/>
                    <w:bottom w:val="single" w:color="000000" w:sz="4"/>
                    <w:right w:val="single" w:color="000000" w:sz="4"/>
                  </w:tcBorders>
                </w:tcPr>
                <w:p>
                  <w:pPr>
                    <w:jc w:val="center"/>
                  </w:pPr>
                  <w:r>
                    <w:rPr>
                      <w:color w:val="000000"/>
                      <w:sz w:val="21"/>
                    </w:rPr>
                    <w:t>飞灰固化块浸出液毒性检测</w:t>
                  </w:r>
                </w:p>
              </w:tc>
              <w:tc>
                <w:tcPr>
                  <w:tcW w:type="dxa" w:w="1257"/>
                  <w:tcBorders>
                    <w:top w:val="none" w:color="000000" w:sz="4"/>
                    <w:left w:val="none" w:color="000000" w:sz="4"/>
                    <w:bottom w:val="single" w:color="000000" w:sz="4"/>
                    <w:right w:val="single" w:color="000000" w:sz="4"/>
                  </w:tcBorders>
                </w:tcPr>
                <w:p>
                  <w:pPr>
                    <w:jc w:val="center"/>
                  </w:pPr>
                  <w:r>
                    <w:rPr>
                      <w:color w:val="000000"/>
                      <w:sz w:val="21"/>
                    </w:rPr>
                    <w:t>GB16889-2008</w:t>
                  </w:r>
                </w:p>
              </w:tc>
              <w:tc>
                <w:tcPr>
                  <w:tcW w:type="dxa" w:w="1428"/>
                  <w:tcBorders>
                    <w:top w:val="none" w:color="000000" w:sz="4"/>
                    <w:left w:val="none" w:color="000000" w:sz="4"/>
                    <w:bottom w:val="single" w:color="000000" w:sz="4"/>
                    <w:right w:val="single" w:color="000000" w:sz="4"/>
                  </w:tcBorders>
                </w:tcPr>
                <w:p>
                  <w:pPr>
                    <w:jc w:val="center"/>
                  </w:pPr>
                  <w:r>
                    <w:rPr>
                      <w:color w:val="000000"/>
                      <w:sz w:val="21"/>
                    </w:rPr>
                    <w:t>含水率、汞、铜、锌、铅、镉、铍、钡、镍、砷、总铬、六价铬、硒</w:t>
                  </w:r>
                </w:p>
              </w:tc>
              <w:tc>
                <w:tcPr>
                  <w:tcW w:type="dxa" w:w="685"/>
                  <w:vMerge/>
                  <w:tcBorders>
                    <w:top w:val="none" w:color="000000" w:sz="4"/>
                    <w:left w:val="none" w:color="000000" w:sz="4"/>
                    <w:bottom w:val="single" w:color="000000" w:sz="4"/>
                    <w:right w:val="single" w:color="000000" w:sz="4"/>
                  </w:tcBorders>
                </w:tcPr>
                <w:p/>
              </w:tc>
              <w:tc>
                <w:tcPr>
                  <w:tcW w:type="dxa" w:w="685"/>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次</w:t>
                  </w:r>
                  <w:r>
                    <w:rPr>
                      <w:color w:val="000000"/>
                      <w:sz w:val="21"/>
                    </w:rPr>
                    <w:t>/</w:t>
                  </w:r>
                  <w:r>
                    <w:rPr>
                      <w:color w:val="000000"/>
                      <w:sz w:val="21"/>
                    </w:rPr>
                    <w:t>周</w:t>
                  </w:r>
                </w:p>
              </w:tc>
              <w:tc>
                <w:tcPr>
                  <w:tcW w:type="dxa" w:w="628"/>
                  <w:tcBorders>
                    <w:top w:val="none" w:color="000000" w:sz="4"/>
                    <w:left w:val="none" w:color="000000" w:sz="4"/>
                    <w:bottom w:val="single" w:color="000000" w:sz="4"/>
                    <w:right w:val="single" w:color="000000" w:sz="4"/>
                  </w:tcBorders>
                </w:tcPr>
                <w:p>
                  <w:pPr>
                    <w:jc w:val="center"/>
                  </w:pPr>
                  <w:r>
                    <w:rPr>
                      <w:color w:val="000000"/>
                      <w:sz w:val="21"/>
                    </w:rPr>
                    <w:t>15</w:t>
                  </w:r>
                  <w:r>
                    <w:rPr>
                      <w:color w:val="000000"/>
                      <w:sz w:val="21"/>
                    </w:rPr>
                    <w:t>个</w:t>
                  </w:r>
                </w:p>
              </w:tc>
            </w:tr>
            <w:tr>
              <w:tc>
                <w:tcPr>
                  <w:tcW w:type="dxa" w:w="914"/>
                  <w:vMerge w:val="restart"/>
                  <w:tcBorders>
                    <w:top w:val="none" w:color="000000" w:sz="4"/>
                    <w:left w:val="single" w:color="000000" w:sz="4"/>
                    <w:bottom w:val="single" w:color="000000" w:sz="4"/>
                    <w:right w:val="single" w:color="000000" w:sz="4"/>
                  </w:tcBorders>
                </w:tcPr>
                <w:p>
                  <w:pPr>
                    <w:jc w:val="center"/>
                  </w:pPr>
                  <w:r>
                    <w:rPr>
                      <w:color w:val="000000"/>
                      <w:sz w:val="21"/>
                    </w:rPr>
                    <w:t>园区地表水检测</w:t>
                  </w:r>
                </w:p>
              </w:tc>
              <w:tc>
                <w:tcPr>
                  <w:tcW w:type="dxa" w:w="1257"/>
                  <w:tcBorders>
                    <w:top w:val="none" w:color="000000" w:sz="4"/>
                    <w:left w:val="none" w:color="000000" w:sz="4"/>
                    <w:bottom w:val="single" w:color="000000" w:sz="4"/>
                    <w:right w:val="single" w:color="000000" w:sz="4"/>
                  </w:tcBorders>
                </w:tcPr>
                <w:p>
                  <w:pPr>
                    <w:jc w:val="center"/>
                  </w:pPr>
                  <w:r>
                    <w:rPr>
                      <w:color w:val="000000"/>
                      <w:sz w:val="21"/>
                    </w:rPr>
                    <w:t>（</w:t>
                  </w:r>
                  <w:r>
                    <w:rPr>
                      <w:color w:val="000000"/>
                      <w:sz w:val="21"/>
                    </w:rPr>
                    <w:t>GB3838-2002</w:t>
                  </w:r>
                  <w:r>
                    <w:rPr>
                      <w:color w:val="000000"/>
                      <w:sz w:val="21"/>
                    </w:rPr>
                    <w:t>）</w:t>
                  </w:r>
                  <w:r>
                    <w:br/>
                  </w:r>
                  <w:r>
                    <w:rPr>
                      <w:color w:val="000000"/>
                      <w:sz w:val="21"/>
                    </w:rPr>
                    <w:t>Ⅳ类标准</w:t>
                  </w:r>
                </w:p>
              </w:tc>
              <w:tc>
                <w:tcPr>
                  <w:tcW w:type="dxa" w:w="1428"/>
                  <w:tcBorders>
                    <w:top w:val="none" w:color="000000" w:sz="4"/>
                    <w:left w:val="none" w:color="000000" w:sz="4"/>
                    <w:bottom w:val="single" w:color="000000" w:sz="4"/>
                    <w:right w:val="single" w:color="000000" w:sz="4"/>
                  </w:tcBorders>
                </w:tcPr>
                <w:p>
                  <w:pPr>
                    <w:jc w:val="center"/>
                  </w:pPr>
                  <w:r>
                    <w:rPr>
                      <w:color w:val="000000"/>
                      <w:sz w:val="21"/>
                    </w:rPr>
                    <w:t>pH</w:t>
                  </w:r>
                  <w:r>
                    <w:rPr>
                      <w:color w:val="000000"/>
                      <w:sz w:val="21"/>
                    </w:rPr>
                    <w:t>、</w:t>
                  </w:r>
                  <w:r>
                    <w:rPr>
                      <w:color w:val="000000"/>
                      <w:sz w:val="21"/>
                    </w:rPr>
                    <w:t>CODcr</w:t>
                  </w:r>
                  <w:r>
                    <w:rPr>
                      <w:color w:val="000000"/>
                      <w:sz w:val="21"/>
                    </w:rPr>
                    <w:t>、</w:t>
                  </w:r>
                  <w:r>
                    <w:rPr>
                      <w:color w:val="000000"/>
                      <w:sz w:val="21"/>
                    </w:rPr>
                    <w:t>BOD5</w:t>
                  </w:r>
                  <w:r>
                    <w:rPr>
                      <w:color w:val="000000"/>
                      <w:sz w:val="21"/>
                    </w:rPr>
                    <w:t>、氨氮、总铜、总锌</w:t>
                  </w:r>
                </w:p>
              </w:tc>
              <w:tc>
                <w:tcPr>
                  <w:tcW w:type="dxa" w:w="685"/>
                  <w:vMerge/>
                  <w:tcBorders>
                    <w:top w:val="none" w:color="000000" w:sz="4"/>
                    <w:left w:val="none" w:color="000000" w:sz="4"/>
                    <w:bottom w:val="single" w:color="000000" w:sz="4"/>
                    <w:right w:val="single" w:color="000000" w:sz="4"/>
                  </w:tcBorders>
                </w:tcPr>
                <w:p/>
              </w:tc>
              <w:tc>
                <w:tcPr>
                  <w:tcW w:type="dxa" w:w="685"/>
                  <w:vMerge w:val="restart"/>
                  <w:tcBorders>
                    <w:top w:val="none" w:color="000000" w:sz="4"/>
                    <w:left w:val="none" w:color="000000" w:sz="4"/>
                    <w:bottom w:val="single" w:color="000000" w:sz="4"/>
                    <w:right w:val="single" w:color="000000" w:sz="4"/>
                  </w:tcBorders>
                </w:tcPr>
                <w:p>
                  <w:pPr>
                    <w:jc w:val="center"/>
                  </w:pPr>
                  <w:r>
                    <w:rPr>
                      <w:color w:val="000000"/>
                      <w:sz w:val="21"/>
                    </w:rPr>
                    <w:t>2</w:t>
                  </w:r>
                  <w:r>
                    <w:rPr>
                      <w:color w:val="000000"/>
                      <w:sz w:val="21"/>
                    </w:rPr>
                    <w:t>次</w:t>
                  </w:r>
                  <w:r>
                    <w:rPr>
                      <w:color w:val="000000"/>
                      <w:sz w:val="21"/>
                    </w:rPr>
                    <w:t>/</w:t>
                  </w:r>
                  <w:r>
                    <w:rPr>
                      <w:color w:val="000000"/>
                      <w:sz w:val="21"/>
                    </w:rPr>
                    <w:t>年</w:t>
                  </w:r>
                </w:p>
              </w:tc>
              <w:tc>
                <w:tcPr>
                  <w:tcW w:type="dxa" w:w="628"/>
                  <w:vMerge w:val="restart"/>
                  <w:tcBorders>
                    <w:top w:val="none" w:color="000000" w:sz="4"/>
                    <w:left w:val="none" w:color="000000" w:sz="4"/>
                    <w:bottom w:val="single" w:color="000000" w:sz="4"/>
                    <w:right w:val="single" w:color="000000" w:sz="4"/>
                  </w:tcBorders>
                </w:tcPr>
                <w:p>
                  <w:pPr>
                    <w:jc w:val="center"/>
                  </w:pPr>
                  <w:r>
                    <w:rPr>
                      <w:color w:val="000000"/>
                      <w:sz w:val="21"/>
                    </w:rPr>
                    <w:t>2</w:t>
                  </w:r>
                  <w:r>
                    <w:rPr>
                      <w:color w:val="000000"/>
                      <w:sz w:val="21"/>
                    </w:rPr>
                    <w:t>个</w:t>
                  </w:r>
                </w:p>
              </w:tc>
            </w:tr>
            <w:tr>
              <w:tc>
                <w:tcPr>
                  <w:tcW w:type="dxa" w:w="914"/>
                  <w:vMerge/>
                  <w:tcBorders>
                    <w:top w:val="none" w:color="000000" w:sz="4"/>
                    <w:left w:val="single" w:color="000000" w:sz="4"/>
                    <w:bottom w:val="single" w:color="000000" w:sz="4"/>
                    <w:right w:val="single" w:color="000000" w:sz="4"/>
                  </w:tcBorders>
                </w:tcPr>
                <w:p/>
              </w:tc>
              <w:tc>
                <w:tcPr>
                  <w:tcW w:type="dxa" w:w="1257"/>
                  <w:tcBorders>
                    <w:top w:val="none" w:color="000000" w:sz="4"/>
                    <w:left w:val="none" w:color="000000" w:sz="4"/>
                    <w:bottom w:val="single" w:color="000000" w:sz="4"/>
                    <w:right w:val="single" w:color="000000" w:sz="4"/>
                  </w:tcBorders>
                </w:tcPr>
                <w:p>
                  <w:pPr>
                    <w:jc w:val="center"/>
                  </w:pPr>
                  <w:r>
                    <w:rPr>
                      <w:color w:val="000000"/>
                      <w:sz w:val="21"/>
                    </w:rPr>
                    <w:t>（DB44/26-2001）</w:t>
                  </w:r>
                </w:p>
                <w:p>
                  <w:pPr>
                    <w:jc w:val="center"/>
                  </w:pPr>
                  <w:r>
                    <w:rPr>
                      <w:color w:val="000000"/>
                      <w:sz w:val="21"/>
                    </w:rPr>
                    <w:t>第二时段二级标准</w:t>
                  </w:r>
                </w:p>
              </w:tc>
              <w:tc>
                <w:tcPr>
                  <w:tcW w:type="dxa" w:w="1428"/>
                  <w:tcBorders>
                    <w:top w:val="none" w:color="000000" w:sz="4"/>
                    <w:left w:val="none" w:color="000000" w:sz="4"/>
                    <w:bottom w:val="single" w:color="000000" w:sz="4"/>
                    <w:right w:val="single" w:color="000000" w:sz="4"/>
                  </w:tcBorders>
                </w:tcPr>
                <w:p>
                  <w:pPr>
                    <w:jc w:val="center"/>
                  </w:pPr>
                  <w:r>
                    <w:rPr>
                      <w:color w:val="000000"/>
                      <w:sz w:val="21"/>
                    </w:rPr>
                    <w:t>SS</w:t>
                  </w:r>
                  <w:r>
                    <w:rPr>
                      <w:color w:val="000000"/>
                      <w:sz w:val="21"/>
                    </w:rPr>
                    <w:t>、磷酸（以</w:t>
                  </w:r>
                  <w:r>
                    <w:rPr>
                      <w:color w:val="000000"/>
                      <w:sz w:val="21"/>
                    </w:rPr>
                    <w:t>P</w:t>
                  </w:r>
                  <w:r>
                    <w:rPr>
                      <w:color w:val="000000"/>
                      <w:sz w:val="21"/>
                    </w:rPr>
                    <w:t>计）、</w:t>
                  </w:r>
                  <w:r>
                    <w:rPr>
                      <w:color w:val="000000"/>
                      <w:sz w:val="21"/>
                    </w:rPr>
                    <w:t>LAS</w:t>
                  </w:r>
                  <w:r>
                    <w:rPr>
                      <w:color w:val="000000"/>
                      <w:sz w:val="21"/>
                    </w:rPr>
                    <w:t>、动植物油、色度、总锰</w:t>
                  </w:r>
                </w:p>
              </w:tc>
            </w:tr>
            <w:tr>
              <w:tc>
                <w:tcPr>
                  <w:tcW w:type="dxa" w:w="914"/>
                  <w:tcBorders>
                    <w:top w:val="none" w:color="000000" w:sz="4"/>
                    <w:left w:val="single" w:color="000000" w:sz="4"/>
                    <w:bottom w:val="single" w:color="000000" w:sz="4"/>
                    <w:right w:val="single" w:color="000000" w:sz="4"/>
                  </w:tcBorders>
                </w:tcPr>
                <w:p>
                  <w:pPr>
                    <w:jc w:val="center"/>
                  </w:pPr>
                  <w:r>
                    <w:rPr>
                      <w:color w:val="000000"/>
                      <w:sz w:val="21"/>
                    </w:rPr>
                    <w:t>填埋场地下水检测</w:t>
                  </w:r>
                </w:p>
              </w:tc>
              <w:tc>
                <w:tcPr>
                  <w:tcW w:type="dxa" w:w="1257"/>
                  <w:tcBorders>
                    <w:top w:val="none" w:color="000000" w:sz="4"/>
                    <w:left w:val="none" w:color="000000" w:sz="4"/>
                    <w:bottom w:val="single" w:color="000000" w:sz="4"/>
                    <w:right w:val="single" w:color="000000" w:sz="4"/>
                  </w:tcBorders>
                </w:tcPr>
                <w:p>
                  <w:pPr>
                    <w:jc w:val="center"/>
                  </w:pPr>
                  <w:r>
                    <w:rPr>
                      <w:color w:val="000000"/>
                      <w:sz w:val="21"/>
                    </w:rPr>
                    <w:t>（</w:t>
                  </w:r>
                  <w:r>
                    <w:rPr>
                      <w:color w:val="000000"/>
                      <w:sz w:val="21"/>
                    </w:rPr>
                    <w:t>GB/T14848-2017</w:t>
                  </w:r>
                  <w:r>
                    <w:rPr>
                      <w:color w:val="000000"/>
                      <w:sz w:val="21"/>
                    </w:rPr>
                    <w:t>）Ⅲ类标准</w:t>
                  </w:r>
                </w:p>
              </w:tc>
              <w:tc>
                <w:tcPr>
                  <w:tcW w:type="dxa" w:w="1428"/>
                  <w:tcBorders>
                    <w:top w:val="none" w:color="000000" w:sz="4"/>
                    <w:left w:val="none" w:color="000000" w:sz="4"/>
                    <w:bottom w:val="single" w:color="000000" w:sz="4"/>
                    <w:right w:val="single" w:color="000000" w:sz="4"/>
                  </w:tcBorders>
                </w:tcPr>
                <w:p>
                  <w:pPr>
                    <w:jc w:val="center"/>
                  </w:pPr>
                  <w:r>
                    <w:rPr>
                      <w:color w:val="000000"/>
                      <w:sz w:val="21"/>
                    </w:rPr>
                    <w:t>pH</w:t>
                  </w:r>
                  <w:r>
                    <w:rPr>
                      <w:color w:val="000000"/>
                      <w:sz w:val="21"/>
                    </w:rPr>
                    <w:t>、耗氧量、硝酸盐、亚硝酸盐、氨氮、挥发酚、氟化物、总硬度、溶解性总固体、总大肠菌群、铍、钡、砷、汞、铅、镉、铜、锌、镍、硒、六价铬</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小塘填埋场</w:t>
                  </w:r>
                </w:p>
              </w:tc>
              <w:tc>
                <w:tcPr>
                  <w:tcW w:type="dxa" w:w="685"/>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次</w:t>
                  </w:r>
                  <w:r>
                    <w:rPr>
                      <w:color w:val="000000"/>
                      <w:sz w:val="21"/>
                    </w:rPr>
                    <w:t>/</w:t>
                  </w:r>
                  <w:r>
                    <w:rPr>
                      <w:color w:val="000000"/>
                      <w:sz w:val="21"/>
                    </w:rPr>
                    <w:t>季</w:t>
                  </w:r>
                </w:p>
              </w:tc>
              <w:tc>
                <w:tcPr>
                  <w:tcW w:type="dxa" w:w="628"/>
                  <w:tcBorders>
                    <w:top w:val="none" w:color="000000" w:sz="4"/>
                    <w:left w:val="none" w:color="000000" w:sz="4"/>
                    <w:bottom w:val="single" w:color="000000" w:sz="4"/>
                    <w:right w:val="single" w:color="000000" w:sz="4"/>
                  </w:tcBorders>
                </w:tcPr>
                <w:p>
                  <w:pPr>
                    <w:jc w:val="center"/>
                  </w:pPr>
                  <w:r>
                    <w:rPr>
                      <w:color w:val="000000"/>
                      <w:sz w:val="21"/>
                    </w:rPr>
                    <w:t>3</w:t>
                  </w:r>
                  <w:r>
                    <w:rPr>
                      <w:color w:val="000000"/>
                      <w:sz w:val="21"/>
                    </w:rPr>
                    <w:t>个</w:t>
                  </w:r>
                </w:p>
              </w:tc>
            </w:tr>
          </w:tbl>
          <w:p>
            <w:r>
              <w:rPr>
                <w:sz w:val="21"/>
              </w:rPr>
              <w:t>合同期内需要更改检测内容的，成交人应按照新标准无条件配合变更检测方案。如成交人因自身技术问题无法按照采购人的新标准及方案进行检测的，应至少提前30日告知采购人，如有严重影响到采购人的工作所需，采购人有权终止合同且不作任何补偿。检测费用单价将通过签订补充协议或次年协议确认。</w:t>
            </w:r>
          </w:p>
        </w:tc>
      </w:tr>
      <w:tr>
        <w:tc>
          <w:tcPr>
            <w:tcW w:type="dxa" w:w="2076"/>
          </w:tcPr>
          <w:p/>
        </w:tc>
        <w:tc>
          <w:tcPr>
            <w:tcW w:type="dxa" w:w="415"/>
          </w:tcPr>
          <w:p>
            <w:r>
              <w:rPr/>
              <w:t>5</w:t>
            </w:r>
          </w:p>
        </w:tc>
        <w:tc>
          <w:tcPr>
            <w:tcW w:type="dxa" w:w="5814"/>
          </w:tcPr>
          <w:p>
            <w:r>
              <w:rPr>
                <w:b/>
                <w:color w:val="000000"/>
                <w:sz w:val="21"/>
              </w:rPr>
              <w:t>采购内容</w:t>
            </w:r>
          </w:p>
          <w:p>
            <w:r>
              <w:rPr>
                <w:color w:val="000000"/>
                <w:sz w:val="21"/>
              </w:rPr>
              <w:t>（</w:t>
            </w:r>
            <w:r>
              <w:rPr>
                <w:color w:val="000000"/>
                <w:sz w:val="21"/>
              </w:rPr>
              <w:t>5</w:t>
            </w:r>
            <w:r>
              <w:rPr>
                <w:color w:val="000000"/>
                <w:sz w:val="21"/>
              </w:rPr>
              <w:t>）取样方式</w:t>
            </w:r>
          </w:p>
          <w:p>
            <w:r>
              <w:rPr>
                <w:color w:val="000000"/>
                <w:sz w:val="21"/>
              </w:rPr>
              <w:t>由成交人到现场采样，采样地址如下：</w:t>
            </w:r>
          </w:p>
          <w:p>
            <w:r>
              <w:rPr>
                <w:color w:val="000000"/>
                <w:sz w:val="21"/>
              </w:rPr>
              <w:t>南海垃圾焚烧发电厂园区排水采样地址：佛山市南海区狮山林场大榄分场；</w:t>
            </w:r>
          </w:p>
          <w:p>
            <w:r>
              <w:rPr>
                <w:color w:val="000000"/>
                <w:sz w:val="21"/>
              </w:rPr>
              <w:t>垃圾焚烧飞灰固化块采样地址：佛山市南海区狮山林场大榄分场；</w:t>
            </w:r>
          </w:p>
          <w:p>
            <w:r>
              <w:rPr>
                <w:color w:val="000000"/>
                <w:sz w:val="21"/>
              </w:rPr>
              <w:t>小塘灰渣无害化处置场地下水采样地址：佛山市南海区狮山镇狮岭原走马营雄风石矿场内。</w:t>
            </w:r>
          </w:p>
          <w:p>
            <w:r>
              <w:rPr>
                <w:sz w:val="21"/>
              </w:rPr>
              <w:t>成交人负责派员到现场随机进行取样，被检单位人员与采样人员一同取样，由采购人委托的第三方监管单位在场见证监督取样过程，共同签署取样记录，并拍照留存。</w:t>
            </w:r>
          </w:p>
        </w:tc>
      </w:tr>
      <w:tr>
        <w:tc>
          <w:tcPr>
            <w:tcW w:type="dxa" w:w="2076"/>
          </w:tcPr>
          <w:p/>
        </w:tc>
        <w:tc>
          <w:tcPr>
            <w:tcW w:type="dxa" w:w="415"/>
          </w:tcPr>
          <w:p>
            <w:r>
              <w:rPr/>
              <w:t>6</w:t>
            </w:r>
          </w:p>
        </w:tc>
        <w:tc>
          <w:tcPr>
            <w:tcW w:type="dxa" w:w="5814"/>
          </w:tcPr>
          <w:p>
            <w:r>
              <w:rPr>
                <w:b/>
                <w:color w:val="000000"/>
                <w:sz w:val="21"/>
              </w:rPr>
              <w:t>项目实施的设备和人员保证</w:t>
            </w:r>
          </w:p>
          <w:p>
            <w:r>
              <w:rPr>
                <w:color w:val="000000"/>
                <w:sz w:val="21"/>
              </w:rPr>
              <w:t>1.</w:t>
            </w:r>
            <w:r>
              <w:rPr>
                <w:color w:val="000000"/>
                <w:sz w:val="21"/>
              </w:rPr>
              <w:t>成交人须具备与检测任务相适应的技术人员、仪器设备、实验室环境及车辆，有固定的项目实施小组、项目负责人，实施人员应持证上岗。</w:t>
            </w:r>
          </w:p>
          <w:p>
            <w:r>
              <w:rPr>
                <w:sz w:val="21"/>
              </w:rPr>
              <w:t>2.</w:t>
            </w:r>
            <w:r>
              <w:rPr>
                <w:sz w:val="21"/>
              </w:rPr>
              <w:t>经双方确定参与本项目管理、执行、报告编制的项目负责人和相关主要技术人员，未经采购人同意不得调整，否则采购人有权终止合同。</w:t>
            </w:r>
          </w:p>
        </w:tc>
      </w:tr>
      <w:tr>
        <w:tc>
          <w:tcPr>
            <w:tcW w:type="dxa" w:w="2076"/>
          </w:tcPr>
          <w:p/>
        </w:tc>
        <w:tc>
          <w:tcPr>
            <w:tcW w:type="dxa" w:w="415"/>
          </w:tcPr>
          <w:p>
            <w:r>
              <w:rPr/>
              <w:t>7</w:t>
            </w:r>
          </w:p>
        </w:tc>
        <w:tc>
          <w:tcPr>
            <w:tcW w:type="dxa" w:w="5814"/>
          </w:tcPr>
          <w:p>
            <w:r>
              <w:rPr>
                <w:b/>
                <w:color w:val="000000"/>
                <w:sz w:val="21"/>
              </w:rPr>
              <w:t>售后服务</w:t>
            </w:r>
          </w:p>
          <w:p>
            <w:r>
              <w:rPr>
                <w:color w:val="000000"/>
                <w:sz w:val="21"/>
              </w:rPr>
              <w:t>1</w:t>
            </w:r>
            <w:r>
              <w:rPr>
                <w:color w:val="000000"/>
                <w:sz w:val="21"/>
              </w:rPr>
              <w:t>）</w:t>
            </w:r>
            <w:r>
              <w:rPr>
                <w:color w:val="000000"/>
                <w:sz w:val="21"/>
              </w:rPr>
              <w:t>成交人需拥有完善的售后服务体系，能为采购人提供专业检测技术咨询、服务支持，及时响应采购人的需求，并向采购人提供专业、有效的检测方案。</w:t>
            </w:r>
          </w:p>
          <w:p>
            <w:r>
              <w:rPr>
                <w:sz w:val="21"/>
              </w:rPr>
              <w:t>2</w:t>
            </w:r>
            <w:r>
              <w:rPr>
                <w:sz w:val="21"/>
              </w:rPr>
              <w:t>）</w:t>
            </w:r>
            <w:r>
              <w:rPr>
                <w:sz w:val="21"/>
              </w:rPr>
              <w:t>在合同期内，如成交人不再具备相应合同项目的资质或者停止经营，必须提前</w:t>
            </w:r>
            <w:r>
              <w:rPr>
                <w:sz w:val="21"/>
              </w:rPr>
              <w:t>3</w:t>
            </w:r>
            <w:r>
              <w:rPr>
                <w:sz w:val="21"/>
              </w:rPr>
              <w:t>个月通知采购人。</w:t>
            </w:r>
          </w:p>
        </w:tc>
      </w:tr>
      <w:tr>
        <w:tc>
          <w:tcPr>
            <w:tcW w:type="dxa" w:w="2076"/>
          </w:tcPr>
          <w:p/>
        </w:tc>
        <w:tc>
          <w:tcPr>
            <w:tcW w:type="dxa" w:w="415"/>
          </w:tcPr>
          <w:p>
            <w:r>
              <w:rPr/>
              <w:t>8</w:t>
            </w:r>
          </w:p>
        </w:tc>
        <w:tc>
          <w:tcPr>
            <w:tcW w:type="dxa" w:w="5814"/>
          </w:tcPr>
          <w:p>
            <w:r>
              <w:rPr>
                <w:b/>
                <w:color w:val="000000"/>
                <w:sz w:val="21"/>
              </w:rPr>
              <w:t>违约条款</w:t>
            </w:r>
          </w:p>
          <w:p>
            <w:r>
              <w:rPr>
                <w:color w:val="000000"/>
                <w:sz w:val="21"/>
              </w:rPr>
              <w:t>1</w:t>
            </w:r>
            <w:r>
              <w:rPr>
                <w:color w:val="000000"/>
                <w:sz w:val="21"/>
              </w:rPr>
              <w:t>）</w:t>
            </w:r>
            <w:r>
              <w:rPr>
                <w:color w:val="000000"/>
                <w:sz w:val="21"/>
              </w:rPr>
              <w:t>成交人未按合同要求完成检测任务或逾期提交检测报告的，采购人可按次数每次扣减合同价的</w:t>
            </w:r>
            <w:r>
              <w:rPr>
                <w:color w:val="000000"/>
                <w:sz w:val="21"/>
              </w:rPr>
              <w:t>2%</w:t>
            </w:r>
            <w:r>
              <w:rPr>
                <w:color w:val="000000"/>
                <w:sz w:val="21"/>
              </w:rPr>
              <w:t>。</w:t>
            </w:r>
          </w:p>
          <w:p>
            <w:r>
              <w:rPr>
                <w:color w:val="000000"/>
                <w:sz w:val="21"/>
              </w:rPr>
              <w:t>2</w:t>
            </w:r>
            <w:r>
              <w:rPr>
                <w:color w:val="000000"/>
                <w:sz w:val="21"/>
              </w:rPr>
              <w:t>）</w:t>
            </w:r>
            <w:r>
              <w:rPr>
                <w:color w:val="000000"/>
                <w:sz w:val="21"/>
              </w:rPr>
              <w:t>检测数据为采购人保密信息，成交人不得直接或间接地以任何方式提供或披露给任何</w:t>
            </w:r>
            <w:r>
              <w:rPr>
                <w:color w:val="000000"/>
                <w:sz w:val="21"/>
              </w:rPr>
              <w:t>“</w:t>
            </w:r>
            <w:r>
              <w:rPr>
                <w:color w:val="000000"/>
                <w:sz w:val="21"/>
              </w:rPr>
              <w:t>第三方</w:t>
            </w:r>
            <w:r>
              <w:rPr>
                <w:color w:val="000000"/>
                <w:sz w:val="21"/>
              </w:rPr>
              <w:t>”</w:t>
            </w:r>
            <w:r>
              <w:rPr>
                <w:color w:val="000000"/>
                <w:sz w:val="21"/>
              </w:rPr>
              <w:t>。在本条中，</w:t>
            </w:r>
            <w:r>
              <w:rPr>
                <w:color w:val="000000"/>
                <w:sz w:val="21"/>
              </w:rPr>
              <w:t>“</w:t>
            </w:r>
            <w:r>
              <w:rPr>
                <w:color w:val="000000"/>
                <w:sz w:val="21"/>
              </w:rPr>
              <w:t>第三方</w:t>
            </w:r>
            <w:r>
              <w:rPr>
                <w:color w:val="000000"/>
                <w:sz w:val="21"/>
              </w:rPr>
              <w:t>”</w:t>
            </w:r>
            <w:r>
              <w:rPr>
                <w:color w:val="000000"/>
                <w:sz w:val="21"/>
              </w:rPr>
              <w:t>是指任何自然人、企业或其分支机构、代理、组织或其他实体。成交人若违反保密责任，采购人有权通过法律手段维护相关权益。</w:t>
            </w:r>
          </w:p>
          <w:p>
            <w:r>
              <w:rPr>
                <w:sz w:val="21"/>
              </w:rPr>
              <w:t>3</w:t>
            </w:r>
            <w:r>
              <w:rPr>
                <w:sz w:val="21"/>
              </w:rPr>
              <w:t>）</w:t>
            </w:r>
            <w:r>
              <w:rPr>
                <w:sz w:val="21"/>
              </w:rPr>
              <w:t>在任何情形下，本条所规定的保密义务应永久持续有效。</w:t>
            </w:r>
          </w:p>
        </w:tc>
      </w:tr>
      <w:tr>
        <w:tc>
          <w:tcPr>
            <w:tcW w:type="dxa" w:w="2076"/>
          </w:tcPr>
          <w:p/>
        </w:tc>
        <w:tc>
          <w:tcPr>
            <w:tcW w:type="dxa" w:w="415"/>
          </w:tcPr>
          <w:p>
            <w:r>
              <w:rPr/>
              <w:t>9</w:t>
            </w:r>
          </w:p>
        </w:tc>
        <w:tc>
          <w:tcPr>
            <w:tcW w:type="dxa" w:w="5814"/>
          </w:tcPr>
          <w:p>
            <w:r>
              <w:rPr>
                <w:b/>
                <w:color w:val="000000"/>
                <w:sz w:val="21"/>
              </w:rPr>
              <w:t>保密要求</w:t>
            </w:r>
          </w:p>
          <w:p>
            <w:r>
              <w:rPr>
                <w:sz w:val="21"/>
              </w:rPr>
              <w:t>双方均应保护对方的知识产权，未经对方同意，任何一方均不得将对方的资料及文件擅自修改、复制或向第三人转让或用于本合同项目外的项目。如发生以上情况，泄密方承担一切由此引起的后果并承担赔偿责任。</w:t>
            </w:r>
          </w:p>
        </w:tc>
      </w:tr>
      <w:tr>
        <w:tc>
          <w:tcPr>
            <w:tcW w:type="dxa" w:w="2076"/>
          </w:tcPr>
          <w:p>
            <w:r>
              <w:rPr/>
              <w:t>★</w:t>
            </w:r>
          </w:p>
        </w:tc>
        <w:tc>
          <w:tcPr>
            <w:tcW w:type="dxa" w:w="415"/>
          </w:tcPr>
          <w:p>
            <w:r>
              <w:rPr/>
              <w:t>10</w:t>
            </w:r>
          </w:p>
        </w:tc>
        <w:tc>
          <w:tcPr>
            <w:tcW w:type="dxa" w:w="5814"/>
          </w:tcPr>
          <w:p>
            <w:r>
              <w:rPr>
                <w:b/>
                <w:sz w:val="21"/>
              </w:rPr>
              <w:t>报价要求：详见上述</w:t>
            </w:r>
            <w:r>
              <w:rPr>
                <w:b/>
                <w:sz w:val="21"/>
              </w:rPr>
              <w:t>采购需求</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1.采购代理机构：本项目是指佛山市伟源招标代理有限公司，负责整个采购活动的组织，依法负责编制和发布磋商文件，对磋商文件拥有最终的解释权，不以任何身份出任磋商小组成员。</w:t>
      </w:r>
    </w:p>
    <w:p>
      <w:pPr>
        <w:ind w:firstLine="480"/>
      </w:pPr>
      <w:r>
        <w:rPr/>
        <w:t>2.采购人：本项目是指</w:t>
      </w:r>
      <w:r>
        <w:rPr/>
        <w:t>佛山市南海区城市管理和综合执法局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以项目一年的预算金额（总预算金额的1/3）作为采购代理服务费的计算基数，采用差额定率累进法计算方式，按中华人民共和国国家发展计划委员会颁发的计价格[2002]1980号、国家发改委[2003]857号及发改价格[2011]534号文规定的“服务类”×3年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其他，（一）合同签订时间补充说明，按照佛山市政务服务数据管理局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成交供应商的响应文件内容，接受社会公众监督，供应商递交响应文件后视为已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 2、承诺保证上述应公示的内容的真实性，且确认不涉及任何个人隐私、商业秘密和其他不可公开的内容。 （三）磋商过程中，若磋商小组对采购需求中的技术、服务要求以及合同草案条款没有变动，响应供应商视为已作出以下承诺：承诺针对本项目采购需求中的技术、服务要求以及合同草案条款的响应不需要进行修改。 （四）由于系统客观原因报价形式只能选取一种方式且报价要求须按照系统固定格式。根据本项目的实际需求，本项目实际的报价形式为单价报价；报价要求为各分项报价不超过最高单价限价。 （五）由于系统中选了总价的报价方式，故响应供应商除须填写投标客户端的《开标一览表》和《分项报价表》还应在响应文件中递交《报价分析表》，《报价分析表》将作为磋商文件的报价响应和价格分的计算，《报价分析表》详见附件1。 （六）由于系统的客观原因，投标供应商可在投标客户端【报价部分】填写预算金额，故各响应供应商在投标客户端开标一览的投标总价均填写“2985000.00”。但价格分的计算则按照磋商报价的评审标准计算供应商递交的《报价分析表》。 （七）本项目采用的远程开标方式，供应商不用到开标现场，但本项目是竞争性磋商方式需要进行最后报价，在磋商环节时，供应商可在广东省政府采购智慧云平台中的等候大厅找到该项目点击进去进行承诺与报价，系统报价可按照投标客户端填写的内容填写，同时须在附件中上传《报价分析表》，上传的《报价分析表》为本项目最后报价并且是价格分的计算依据，各供应商在上传前须确认清楚，按递交键后不能撤回。因为磋商时需要在规定时间内进行承诺与报价的环节，故供应商可提前准备此份《报价分析表》，以便磋商报价时及时上传。</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佛山市伟源招标代理有限公司</w:t>
      </w:r>
      <w:r>
        <w:rPr/>
        <w:t>代收。具体操作要求详见</w:t>
      </w:r>
      <w:r>
        <w:rPr/>
        <w:t>佛山市伟源招标代理有限公司</w:t>
      </w:r>
      <w:r>
        <w:rPr/>
        <w:t>有关指引，递交事宜请自行咨询</w:t>
      </w:r>
      <w:r>
        <w:rPr/>
        <w:t>佛山市伟源招标代理有限公司</w:t>
      </w:r>
      <w:r>
        <w:rPr/>
        <w:t>；请各供应商在响应文件递交截止时间前按须知前附表规定的金额递交至</w:t>
      </w:r>
      <w:r>
        <w:rPr/>
        <w:t>佛山市伟源招标代理有限公司</w:t>
      </w:r>
      <w:r>
        <w:rPr/>
        <w:t>，到账情况以开启时</w:t>
      </w:r>
      <w:r>
        <w:rPr/>
        <w:t>佛山市伟源招标代理有限公司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佛山市公共资源交易网（ggzy.foshan.gov.cn），佛山市公共资源交易中心南海分中心网页（http://www.nanhai.gov.cn/fsnhq/bmdh/sydw/ggzyjyzx/znjj/），佛山市伟源招标代理有限公司（www.fsweiyuan.com）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佛山市公共资源交易网（ggzy.foshan.gov.cn），佛山市公共资源交易中心南海分中心网页（http://www.nanhai.gov.cn/fsnhq/bmdh/sydw/ggzyjyzx/znjj/），佛山市伟源招标代理有限公司（www.fsweiyuan.com）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0757-86230148</w:t>
      </w:r>
    </w:p>
    <w:p>
      <w:pPr>
        <w:ind w:firstLine="480"/>
      </w:pPr>
      <w:r>
        <w:rPr/>
        <w:t>传真：</w:t>
      </w:r>
      <w:r>
        <w:rPr/>
        <w:t>/</w:t>
      </w:r>
    </w:p>
    <w:p>
      <w:pPr>
        <w:ind w:firstLine="480"/>
      </w:pPr>
      <w:r>
        <w:rPr/>
        <w:t>邮箱：</w:t>
      </w:r>
      <w:r>
        <w:rPr/>
        <w:t>fsweiyuan@163.com</w:t>
      </w:r>
    </w:p>
    <w:p>
      <w:pPr>
        <w:ind w:firstLine="480"/>
      </w:pPr>
      <w:r>
        <w:rPr/>
        <w:t>地址：</w:t>
      </w:r>
      <w:r>
        <w:rPr/>
        <w:t>佛山市南海区桂城南桂东路38号房地产发展大厦主楼9楼3号</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址：佛山市南海区桂城街道南新三路20号</w:t>
      </w:r>
    </w:p>
    <w:p>
      <w:r>
        <w:rPr/>
        <w:t>电  话：0757-86282779、86282776</w:t>
      </w:r>
    </w:p>
    <w:p>
      <w:r>
        <w:rPr/>
        <w:t>邮  编：528200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垃圾焚烧发电厂飞灰固化等项目第三方机构检测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佛山市伟源招标代理有限公司</w:t>
      </w:r>
      <w:r>
        <w:rPr/>
        <w:t>统一对外发布。</w:t>
      </w:r>
    </w:p>
    <w:p>
      <w:pPr>
        <w:ind w:firstLine="480"/>
      </w:pPr>
      <w:r>
        <w:rPr/>
        <w:t>（2）对</w:t>
      </w:r>
      <w:r>
        <w:rPr/>
        <w:t>佛山市伟源招标代理有限公司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采购包1（垃圾焚烧发电厂飞灰固化等项目第三方机构检测服务）：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承接本项目的供应商或联合体成员均为小型、微型企业时，给予C1的价格扣除（C1为扣除比例，取值范围为10%），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采购包1（垃圾焚烧发电厂飞灰固化等项目第三方机构检测服务）：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w:t>
            </w:r>
          </w:p>
        </w:tc>
      </w:tr>
      <w:tr>
        <w:tc>
          <w:tcPr>
            <w:tcW w:type="dxa" w:w="890"/>
          </w:tcPr>
          <w:p>
            <w:r>
              <w:rPr/>
              <w:t>2</w:t>
            </w:r>
          </w:p>
        </w:tc>
        <w:tc>
          <w:tcPr>
            <w:tcW w:type="dxa" w:w="3178"/>
          </w:tcPr>
          <w:p>
            <w:r>
              <w:rPr/>
              <w:t>有依法缴纳税收和社会保障资金的良好记录</w:t>
            </w:r>
          </w:p>
        </w:tc>
        <w:tc>
          <w:tcPr>
            <w:tcW w:type="dxa" w:w="4238"/>
          </w:tcPr>
          <w:p>
            <w:r>
              <w:rPr/>
              <w:t>提交响应文件截止时间前6个月内任意1个月依法缴纳税收和社会保障资金的相关材料。如依法免税或不需要缴纳社会保障资金的，提供相应证明材料。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提供有效的国家计量认证证书（CMA认证）扫描件。</w:t>
            </w:r>
          </w:p>
        </w:tc>
        <w:tc>
          <w:tcPr>
            <w:tcW w:type="dxa" w:w="4238"/>
          </w:tcPr>
          <w:p>
            <w:r>
              <w:rPr/>
              <w:t>提供有效的国家计量认证证书（CMA认证）扫描件。</w:t>
            </w:r>
          </w:p>
        </w:tc>
      </w:tr>
      <w:tr>
        <w:tc>
          <w:tcPr>
            <w:tcW w:type="dxa" w:w="890"/>
          </w:tcPr>
          <w:p>
            <w:r>
              <w:rPr/>
              <w:t>7</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采购包1（垃圾焚烧发电厂飞灰固化等项目第三方机构检测服务）：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各分项单价报价不超过对应的最高单价限价。</w:t>
            </w:r>
          </w:p>
        </w:tc>
        <w:tc>
          <w:tcPr>
            <w:tcW w:type="dxa" w:w="4238"/>
          </w:tcPr>
          <w:p>
            <w:r>
              <w:rPr/>
              <w:t>各分项单价报价不超过对应的最高单价限价。</w:t>
            </w:r>
          </w:p>
        </w:tc>
      </w:tr>
      <w:tr>
        <w:tc>
          <w:tcPr>
            <w:tcW w:type="dxa" w:w="890"/>
          </w:tcPr>
          <w:p>
            <w:r>
              <w:rPr/>
              <w:t>2</w:t>
            </w:r>
          </w:p>
        </w:tc>
        <w:tc>
          <w:tcPr>
            <w:tcW w:type="dxa" w:w="3178"/>
          </w:tcPr>
          <w:p>
            <w:r>
              <w:rPr/>
              <w:t>提交响应承诺函。响应文件完整，投标内容基本完整，无重大错漏，并按要求填写、签署、盖章。</w:t>
            </w:r>
          </w:p>
        </w:tc>
        <w:tc>
          <w:tcPr>
            <w:tcW w:type="dxa" w:w="4238"/>
          </w:tcPr>
          <w:p>
            <w:r>
              <w:rPr/>
              <w:t>提交响应承诺函。响应文件完整，投标内容基本完整，无重大错漏，并按要求填写、签署、盖章。</w:t>
            </w:r>
          </w:p>
        </w:tc>
      </w:tr>
      <w:tr>
        <w:tc>
          <w:tcPr>
            <w:tcW w:type="dxa" w:w="890"/>
          </w:tcPr>
          <w:p>
            <w:r>
              <w:rPr/>
              <w:t>3</w:t>
            </w:r>
          </w:p>
        </w:tc>
        <w:tc>
          <w:tcPr>
            <w:tcW w:type="dxa" w:w="3178"/>
          </w:tcPr>
          <w:p>
            <w:r>
              <w:rPr/>
              <w:t>法定代表人/负责人资格证明书及授权委托书，按对应格式文件填写、签署、盖章。</w:t>
            </w:r>
          </w:p>
        </w:tc>
        <w:tc>
          <w:tcPr>
            <w:tcW w:type="dxa" w:w="4238"/>
          </w:tcPr>
          <w:p>
            <w:r>
              <w:rPr/>
              <w:t>法定代表人/负责人资格证明书及授权委托书，按对应格式文件填写、签署、盖章。</w:t>
            </w:r>
          </w:p>
        </w:tc>
      </w:tr>
      <w:tr>
        <w:tc>
          <w:tcPr>
            <w:tcW w:type="dxa" w:w="890"/>
          </w:tcPr>
          <w:p>
            <w:r>
              <w:rPr/>
              <w:t>4</w:t>
            </w:r>
          </w:p>
        </w:tc>
        <w:tc>
          <w:tcPr>
            <w:tcW w:type="dxa" w:w="3178"/>
          </w:tcPr>
          <w:p>
            <w:r>
              <w:rPr/>
              <w:t>“★”号条款满足磋商文件要求。</w:t>
            </w:r>
          </w:p>
        </w:tc>
        <w:tc>
          <w:tcPr>
            <w:tcW w:type="dxa" w:w="4238"/>
          </w:tcPr>
          <w:p>
            <w:r>
              <w:rPr/>
              <w:t>“★”号条款满足磋商文件要求。</w:t>
            </w:r>
          </w:p>
        </w:tc>
      </w:tr>
      <w:tr>
        <w:tc>
          <w:tcPr>
            <w:tcW w:type="dxa" w:w="890"/>
          </w:tcPr>
          <w:p>
            <w:r>
              <w:rPr/>
              <w:t>5</w:t>
            </w:r>
          </w:p>
        </w:tc>
        <w:tc>
          <w:tcPr>
            <w:tcW w:type="dxa" w:w="3178"/>
          </w:tcPr>
          <w:p>
            <w:r>
              <w:rPr/>
              <w:t>响应有效期为响应文件截止时间起至少90天。</w:t>
            </w:r>
          </w:p>
        </w:tc>
        <w:tc>
          <w:tcPr>
            <w:tcW w:type="dxa" w:w="4238"/>
          </w:tcPr>
          <w:p>
            <w:r>
              <w:rPr/>
              <w:t>响应有效期为响应文件截止时间起至少90天。</w:t>
            </w:r>
          </w:p>
        </w:tc>
      </w:tr>
      <w:tr>
        <w:tc>
          <w:tcPr>
            <w:tcW w:type="dxa" w:w="890"/>
          </w:tcPr>
          <w:p>
            <w:r>
              <w:rPr/>
              <w:t>6</w:t>
            </w:r>
          </w:p>
        </w:tc>
        <w:tc>
          <w:tcPr>
            <w:tcW w:type="dxa" w:w="3178"/>
          </w:tcPr>
          <w:p>
            <w:r>
              <w:rPr/>
              <w:t>响应文件未含有采购人不可接受的附加条件。</w:t>
            </w:r>
          </w:p>
        </w:tc>
        <w:tc>
          <w:tcPr>
            <w:tcW w:type="dxa" w:w="4238"/>
          </w:tcPr>
          <w:p>
            <w:r>
              <w:rPr/>
              <w:t>响应文件未含有采购人不可接受的附加条件。</w:t>
            </w:r>
          </w:p>
        </w:tc>
      </w:tr>
      <w:tr>
        <w:tc>
          <w:tcPr>
            <w:tcW w:type="dxa" w:w="890"/>
          </w:tcPr>
          <w:p>
            <w:r>
              <w:rPr/>
              <w:t>7</w:t>
            </w:r>
          </w:p>
        </w:tc>
        <w:tc>
          <w:tcPr>
            <w:tcW w:type="dxa" w:w="3178"/>
          </w:tcPr>
          <w:p>
            <w:r>
              <w:rPr/>
              <w:t>响应文件没有磋商文件中规定的其它无效响应条款的。</w:t>
            </w:r>
          </w:p>
        </w:tc>
        <w:tc>
          <w:tcPr>
            <w:tcW w:type="dxa" w:w="4238"/>
          </w:tcPr>
          <w:p>
            <w:r>
              <w:rPr/>
              <w:t>响应文件没有磋商文件中规定的其它无效响应条款的。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垃圾焚烧发电厂飞灰固化等项目第三方机构检测服务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商务部分32.0分</w:t>
            </w:r>
          </w:p>
          <w:p>
            <w:r>
              <w:rPr/>
              <w:t>技术部分38.0分</w:t>
            </w:r>
          </w:p>
          <w:p>
            <w:r>
              <w:rPr/>
              <w:t>报价得分30.0分</w:t>
            </w:r>
          </w:p>
        </w:tc>
      </w:tr>
      <w:tr>
        <w:tc>
          <w:tcPr>
            <w:tcW w:type="dxa" w:w="922"/>
            <w:gridSpan w:val="2"/>
            <w:vMerge w:val="restart"/>
          </w:tcPr>
          <w:p>
            <w:pPr>
              <w:jc w:val="center"/>
            </w:pPr>
            <w:r>
              <w:rPr/>
              <w:t>技术部分</w:t>
            </w:r>
          </w:p>
        </w:tc>
        <w:tc>
          <w:tcPr>
            <w:tcW w:type="dxa" w:w="2307"/>
          </w:tcPr>
          <w:p>
            <w:pPr>
              <w:jc w:val="left"/>
            </w:pPr>
            <w:r>
              <w:rPr/>
              <w:t>对技术(参数)要求的响应程度 (9.0分)</w:t>
            </w:r>
          </w:p>
        </w:tc>
        <w:tc>
          <w:tcPr>
            <w:tcW w:type="dxa" w:w="5076"/>
          </w:tcPr>
          <w:p>
            <w:pPr>
              <w:jc w:val="left"/>
            </w:pPr>
            <w:r>
              <w:rPr/>
              <w:t>根据供应商对技术(参数)要求的响应情况进行打分：完全响应或优于要求的，得9分；有1项负偏离或不响应的得7分，有2项负偏离或不响应的得5分，有3项负偏离或不响应的得3分，有4项负偏离或不响应的得1分，有5项或以上负偏离或不响应的不得分。</w:t>
            </w:r>
          </w:p>
        </w:tc>
      </w:tr>
      <w:tr>
        <w:tc>
          <w:tcPr>
            <w:tcW w:type="dxa" w:w="922"/>
            <w:gridSpan w:val="2"/>
            <w:vMerge/>
          </w:tcPr>
          <w:p/>
        </w:tc>
        <w:tc>
          <w:tcPr>
            <w:tcW w:type="dxa" w:w="2307"/>
          </w:tcPr>
          <w:p>
            <w:pPr>
              <w:jc w:val="left"/>
            </w:pPr>
            <w:r>
              <w:rPr/>
              <w:t>项目实施方案 (10.0分)</w:t>
            </w:r>
            <w:r>
              <w:rPr/>
              <w:t>，（等次分值选择：</w:t>
            </w:r>
            <w:r>
              <w:rPr/>
              <w:t>0.0;</w:t>
            </w:r>
            <w:r>
              <w:rPr/>
              <w:t>4.0;</w:t>
            </w:r>
            <w:r>
              <w:rPr/>
              <w:t>7.0;</w:t>
            </w:r>
            <w:r>
              <w:rPr/>
              <w:t>10.0;</w:t>
            </w:r>
            <w:r>
              <w:rPr/>
              <w:t>）</w:t>
            </w:r>
          </w:p>
        </w:tc>
        <w:tc>
          <w:tcPr>
            <w:tcW w:type="dxa" w:w="5076"/>
          </w:tcPr>
          <w:p>
            <w:pPr>
              <w:jc w:val="left"/>
            </w:pPr>
            <w:r>
              <w:rPr/>
              <w:t>根据项目实施方案进行评价。包括①工作方法、②质量控制措施方法、③预防性管理方法、④样品保存、⑤运输方案等项目内容进行评审。 供应商提供的实施方案内容详细，合理，可操作性强，得10分； 供应商提供的实施方案内容基本详细，合理，可操作性一般，得7分； 供应商提供的实施方案详细性，合理性，可操作性一般，得4分。 不提供项目实施方案不得分。</w:t>
            </w:r>
          </w:p>
        </w:tc>
      </w:tr>
      <w:tr>
        <w:tc>
          <w:tcPr>
            <w:tcW w:type="dxa" w:w="922"/>
            <w:gridSpan w:val="2"/>
            <w:vMerge/>
          </w:tcPr>
          <w:p/>
        </w:tc>
        <w:tc>
          <w:tcPr>
            <w:tcW w:type="dxa" w:w="2307"/>
          </w:tcPr>
          <w:p>
            <w:pPr>
              <w:jc w:val="left"/>
            </w:pPr>
            <w:r>
              <w:rPr/>
              <w:t>投入设备 (10.0分)</w:t>
            </w:r>
            <w:r>
              <w:rPr/>
              <w:t>，（等次分值选择：</w:t>
            </w:r>
            <w:r>
              <w:rPr/>
              <w:t>0.0;</w:t>
            </w:r>
            <w:r>
              <w:rPr/>
              <w:t>1.0;</w:t>
            </w:r>
            <w:r>
              <w:rPr/>
              <w:t>4.0;</w:t>
            </w:r>
            <w:r>
              <w:rPr/>
              <w:t>7.0;</w:t>
            </w:r>
            <w:r>
              <w:rPr/>
              <w:t>10.0;</w:t>
            </w:r>
            <w:r>
              <w:rPr/>
              <w:t>）</w:t>
            </w:r>
          </w:p>
        </w:tc>
        <w:tc>
          <w:tcPr>
            <w:tcW w:type="dxa" w:w="5076"/>
          </w:tcPr>
          <w:p>
            <w:pPr>
              <w:jc w:val="left"/>
            </w:pPr>
            <w:r>
              <w:rPr/>
              <w:t>评委根据投入设备全面性、合理性、是否先进等进行综合评审： 投入的设备数量较多，种类齐全，设备均为自有的，得10分； 投入的设备数量较多，种类较齐全，部分设备为自有的，得7分； 投入的设备数量基本满足采购需求，种类基本齐全，设备均为自有或租赁的，得4分。 投入的设备数量较少，种类不齐全，设备均为租赁或自有的，得1分。 （设备为自有的须提供设备发票，设备为租赁的须提供租赁合同，不提供设备证明材料不得分。）</w:t>
            </w:r>
          </w:p>
        </w:tc>
      </w:tr>
      <w:tr>
        <w:tc>
          <w:tcPr>
            <w:tcW w:type="dxa" w:w="922"/>
            <w:gridSpan w:val="2"/>
            <w:vMerge/>
          </w:tcPr>
          <w:p/>
        </w:tc>
        <w:tc>
          <w:tcPr>
            <w:tcW w:type="dxa" w:w="2307"/>
          </w:tcPr>
          <w:p>
            <w:pPr>
              <w:jc w:val="left"/>
            </w:pPr>
            <w:r>
              <w:rPr/>
              <w:t>质量保障制度和措施 (5.0分)</w:t>
            </w:r>
            <w:r>
              <w:rPr/>
              <w:t>，（等次分值选择：</w:t>
            </w:r>
            <w:r>
              <w:rPr/>
              <w:t>0.0;</w:t>
            </w:r>
            <w:r>
              <w:rPr/>
              <w:t>1.0;</w:t>
            </w:r>
            <w:r>
              <w:rPr/>
              <w:t>3.0;</w:t>
            </w:r>
            <w:r>
              <w:rPr/>
              <w:t>5.0;</w:t>
            </w:r>
            <w:r>
              <w:rPr/>
              <w:t>）</w:t>
            </w:r>
          </w:p>
        </w:tc>
        <w:tc>
          <w:tcPr>
            <w:tcW w:type="dxa" w:w="5076"/>
          </w:tcPr>
          <w:p>
            <w:pPr>
              <w:jc w:val="left"/>
            </w:pPr>
            <w:r>
              <w:rPr/>
              <w:t>根据各供应商的内部管理制度、标准体系、质量管理措施等情况进行综合评审： 供应商提供的内部管理制度、标准体系、质量管理措施方案同科学、完善，可操作性好，得5分； 供应商提供的内部管理制度、标准体系、质量管理措施较科学、较完善，可操作性一般，得3分； 供应商提供的内部管理制度、标准体系、质量管理措施较简单、可操作性较差，得1分； 不提供不得分。</w:t>
            </w:r>
          </w:p>
        </w:tc>
      </w:tr>
      <w:tr>
        <w:tc>
          <w:tcPr>
            <w:tcW w:type="dxa" w:w="922"/>
            <w:gridSpan w:val="2"/>
            <w:vMerge/>
          </w:tcPr>
          <w:p/>
        </w:tc>
        <w:tc>
          <w:tcPr>
            <w:tcW w:type="dxa" w:w="2307"/>
          </w:tcPr>
          <w:p>
            <w:pPr>
              <w:jc w:val="left"/>
            </w:pPr>
            <w:r>
              <w:rPr/>
              <w:t>特色服务 (4.0分)</w:t>
            </w:r>
            <w:r>
              <w:rPr/>
              <w:t>，（等次分值选择：</w:t>
            </w:r>
            <w:r>
              <w:rPr/>
              <w:t>0.0;</w:t>
            </w:r>
            <w:r>
              <w:rPr/>
              <w:t>1.0;</w:t>
            </w:r>
            <w:r>
              <w:rPr/>
              <w:t>2.0;</w:t>
            </w:r>
            <w:r>
              <w:rPr/>
              <w:t>4.0;</w:t>
            </w:r>
            <w:r>
              <w:rPr/>
              <w:t>）</w:t>
            </w:r>
          </w:p>
        </w:tc>
        <w:tc>
          <w:tcPr>
            <w:tcW w:type="dxa" w:w="5076"/>
          </w:tcPr>
          <w:p>
            <w:pPr>
              <w:jc w:val="left"/>
            </w:pPr>
            <w:r>
              <w:rPr/>
              <w:t>根据供应商提供的创新服务、特色服务内容，先进技术或管理方式的应用情况进行综合评审： 供应商提供的创新服务、特色服务内容详细，合理，可操作性强的，得4分； 供应商提供的创新服务、特色服务内容同详细，基本合理，可操作性较强的，得2分。 供应商提供的创新服务、特色服务内容较简单，可操作性一般的，得1分。 不提供方案不得分。</w:t>
            </w:r>
          </w:p>
        </w:tc>
      </w:tr>
      <w:tr>
        <w:tc>
          <w:tcPr>
            <w:tcW w:type="dxa" w:w="922"/>
            <w:gridSpan w:val="2"/>
            <w:vMerge w:val="restart"/>
          </w:tcPr>
          <w:p>
            <w:pPr>
              <w:jc w:val="center"/>
            </w:pPr>
            <w:r>
              <w:rPr/>
              <w:t>商务部分</w:t>
            </w:r>
          </w:p>
        </w:tc>
        <w:tc>
          <w:tcPr>
            <w:tcW w:type="dxa" w:w="2307"/>
          </w:tcPr>
          <w:p>
            <w:pPr>
              <w:jc w:val="left"/>
            </w:pPr>
            <w:r>
              <w:rPr/>
              <w:t>企业实力 (6.0分)</w:t>
            </w:r>
          </w:p>
        </w:tc>
        <w:tc>
          <w:tcPr>
            <w:tcW w:type="dxa" w:w="5076"/>
          </w:tcPr>
          <w:p>
            <w:pPr>
              <w:jc w:val="left"/>
            </w:pPr>
            <w:r>
              <w:rPr/>
              <w:t>1、供应商同时具有质量管理体系认证证书，职业健康安全管理体系认证证书，环境管理体系认证证书的，得1分。（须提供有效证书扫描件，还须提供国家认证认可监督管理委员会信息中心的认证认可业务信息统一查询平台(http://cx.cnca.cn/)中查询证书信息的网页打印件（或截图），须显示证书的有效状态，否则不得分） 2、供应商曾获得区级以上（含区级）行政机关授予的守信类称号，得1分（须提供有效证书扫描件）。 3.供应商具有本检测项目相关的发明专利的，得2分（须提供有效证书扫描件）。 4.供应商获得过与本项目密切相关的国家奖项得2分，获得过与本项目密切相关的省级奖励得1分，获得过与本项目密切相关的市级（含）以下奖励的，得0.5分；本小项最高得2分（须提供有效证书扫描件）。</w:t>
            </w:r>
          </w:p>
        </w:tc>
      </w:tr>
      <w:tr>
        <w:tc>
          <w:tcPr>
            <w:tcW w:type="dxa" w:w="922"/>
            <w:gridSpan w:val="2"/>
            <w:vMerge/>
          </w:tcPr>
          <w:p/>
        </w:tc>
        <w:tc>
          <w:tcPr>
            <w:tcW w:type="dxa" w:w="2307"/>
          </w:tcPr>
          <w:p>
            <w:pPr>
              <w:jc w:val="left"/>
            </w:pPr>
            <w:r>
              <w:rPr/>
              <w:t>服务便利性 (4.0分)</w:t>
            </w:r>
            <w:r>
              <w:rPr/>
              <w:t>，（等次分值选择：</w:t>
            </w:r>
            <w:r>
              <w:rPr/>
              <w:t>0.0;</w:t>
            </w:r>
            <w:r>
              <w:rPr/>
              <w:t>1.0;</w:t>
            </w:r>
            <w:r>
              <w:rPr/>
              <w:t>2.0;</w:t>
            </w:r>
            <w:r>
              <w:rPr/>
              <w:t>4.0;</w:t>
            </w:r>
            <w:r>
              <w:rPr/>
              <w:t>）</w:t>
            </w:r>
          </w:p>
        </w:tc>
        <w:tc>
          <w:tcPr>
            <w:tcW w:type="dxa" w:w="5076"/>
          </w:tcPr>
          <w:p>
            <w:pPr>
              <w:jc w:val="left"/>
            </w:pPr>
            <w:r>
              <w:rPr/>
              <w:t>根据各供应商售后服务方案（售后服务及时性、响应速度等）进行综合评价； 售后服务及时性好、响应速度优，得4分； 售后服务及时性一般、响应速度良，得2分， 售后服务、响应速度满足基本要求，得1分； 无方案不得分。</w:t>
            </w:r>
          </w:p>
        </w:tc>
      </w:tr>
      <w:tr>
        <w:tc>
          <w:tcPr>
            <w:tcW w:type="dxa" w:w="922"/>
            <w:gridSpan w:val="2"/>
            <w:vMerge/>
          </w:tcPr>
          <w:p/>
        </w:tc>
        <w:tc>
          <w:tcPr>
            <w:tcW w:type="dxa" w:w="2307"/>
          </w:tcPr>
          <w:p>
            <w:pPr>
              <w:jc w:val="left"/>
            </w:pPr>
            <w:r>
              <w:rPr/>
              <w:t>人员配备及安排 (10.0分)</w:t>
            </w:r>
          </w:p>
        </w:tc>
        <w:tc>
          <w:tcPr>
            <w:tcW w:type="dxa" w:w="5076"/>
          </w:tcPr>
          <w:p>
            <w:pPr>
              <w:jc w:val="left"/>
            </w:pPr>
            <w:r>
              <w:rPr/>
              <w:t>供应商投入本项目的人员中，具有中级职称的，每提供1名得1分，最高得5分；具有高级或以上工程师职称的，每提供1名得2分。 （本项最高10分，上述人员不重复计分，须提供职称证书扫描件以及投入人员在本单位2022年任意一个月内购买的社会保险或缴纳个人所得税的证明。）</w:t>
            </w:r>
          </w:p>
        </w:tc>
      </w:tr>
      <w:tr>
        <w:tc>
          <w:tcPr>
            <w:tcW w:type="dxa" w:w="922"/>
            <w:gridSpan w:val="2"/>
            <w:vMerge/>
          </w:tcPr>
          <w:p/>
        </w:tc>
        <w:tc>
          <w:tcPr>
            <w:tcW w:type="dxa" w:w="2307"/>
          </w:tcPr>
          <w:p>
            <w:pPr>
              <w:jc w:val="left"/>
            </w:pPr>
            <w:r>
              <w:rPr/>
              <w:t>同类项目业绩 (12.0分)</w:t>
            </w:r>
          </w:p>
        </w:tc>
        <w:tc>
          <w:tcPr>
            <w:tcW w:type="dxa" w:w="5076"/>
          </w:tcPr>
          <w:p>
            <w:pPr>
              <w:jc w:val="left"/>
            </w:pPr>
            <w:r>
              <w:rPr/>
              <w:t>以供应商名义独立承接与本项目密切相关业绩的，每个业绩得3分，满分12分。（提供合同扫描件）</w:t>
            </w:r>
          </w:p>
        </w:tc>
      </w:tr>
      <w:tr>
        <w:tc>
          <w:tcPr>
            <w:tcW w:type="dxa" w:w="922"/>
            <w:gridSpan w:val="2"/>
          </w:tcPr>
          <w:p>
            <w:pPr>
              <w:jc w:val="center"/>
            </w:pPr>
            <w:r>
              <w:rPr/>
              <w:t>投标报价</w:t>
            </w:r>
          </w:p>
        </w:tc>
        <w:tc>
          <w:tcPr>
            <w:tcW w:type="dxa" w:w="2307"/>
          </w:tcPr>
          <w:p>
            <w:pPr>
              <w:jc w:val="left"/>
            </w:pPr>
            <w:r>
              <w:rPr/>
              <w:t>磋商报价得分 (30.0分)</w:t>
            </w:r>
          </w:p>
        </w:tc>
        <w:tc>
          <w:tcPr>
            <w:tcW w:type="dxa" w:w="5076"/>
          </w:tcPr>
          <w:p>
            <w:pPr>
              <w:jc w:val="left"/>
            </w:pPr>
            <w:r>
              <w:rPr/>
              <w:t>磋商报价得分＝（评审基准价/磋商报价）×价格分值【注：满足采购文件要求且磋商价格最低的磋商报价为评审基准价。】最低报价不是中标的唯一依据。因落实政府采购政策进行价格调整的，以调整后的价格计算评审基准价和磋商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r>
        <w:rPr>
          <w:sz w:val="68"/>
        </w:rPr>
        <w:t>佛山市政府采购项目</w:t>
      </w:r>
    </w:p>
    <w:p>
      <w:pPr>
        <w:jc w:val="center"/>
      </w:pPr>
      <w:r>
        <w:rPr>
          <w:color w:val="000000"/>
          <w:sz w:val="68"/>
        </w:rPr>
        <w:t>项目合同书</w:t>
      </w:r>
    </w:p>
    <w:p>
      <w:pPr>
        <w:ind w:firstLine="2409"/>
      </w:pPr>
    </w:p>
    <w:p>
      <w:pPr>
        <w:ind w:firstLine="2409"/>
      </w:pPr>
    </w:p>
    <w:p>
      <w:pPr>
        <w:ind w:firstLine="2409"/>
      </w:pPr>
    </w:p>
    <w:p>
      <w:pPr>
        <w:ind w:firstLine="2409"/>
      </w:pPr>
    </w:p>
    <w:p>
      <w:pPr>
        <w:ind w:firstLine="2409"/>
      </w:pPr>
      <w:r>
        <w:rPr>
          <w:b/>
          <w:sz w:val="24"/>
        </w:rPr>
        <w:t>项目编号：</w:t>
      </w:r>
      <w:r>
        <w:rPr>
          <w:b/>
          <w:sz w:val="24"/>
          <w:u w:val="single"/>
        </w:rPr>
        <w:t>JF2022(NH)WS0111</w:t>
      </w:r>
    </w:p>
    <w:p>
      <w:pPr>
        <w:ind w:firstLine="2409"/>
      </w:pPr>
      <w:r>
        <w:rPr>
          <w:b/>
          <w:sz w:val="24"/>
        </w:rPr>
        <w:t>项目名称：</w:t>
      </w:r>
      <w:r>
        <w:rPr>
          <w:b/>
          <w:sz w:val="24"/>
          <w:u w:val="single"/>
        </w:rPr>
        <w:t>垃圾焚烧发电厂飞灰固化等项目第三方机构检测服务</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1620"/>
        <w:gridCol w:w="4815"/>
      </w:tblGrid>
      <w:tr>
        <w:tc>
          <w:tcPr>
            <w:tcW w:type="dxa" w:w="1620"/>
          </w:tcPr>
          <w:p>
            <w:pPr>
              <w:jc w:val="center"/>
            </w:pPr>
            <w:r>
              <w:rPr>
                <w:sz w:val="28"/>
              </w:rPr>
              <w:t>甲    方：</w:t>
            </w:r>
          </w:p>
        </w:tc>
        <w:tc>
          <w:tcPr>
            <w:tcW w:type="dxa" w:w="4815"/>
          </w:tcPr>
          <w:p>
            <w:pPr>
              <w:jc w:val="left"/>
            </w:pPr>
            <w:r>
              <w:rPr>
                <w:sz w:val="28"/>
                <w:u w:val="single"/>
              </w:rPr>
              <w:t>佛山市南海区城市管理和综合执法局</w:t>
            </w:r>
          </w:p>
        </w:tc>
      </w:tr>
      <w:tr>
        <w:tc>
          <w:tcPr>
            <w:tcW w:type="dxa" w:w="1620"/>
          </w:tcPr>
          <w:p>
            <w:pPr>
              <w:jc w:val="center"/>
            </w:pPr>
            <w:r>
              <w:rPr>
                <w:sz w:val="28"/>
              </w:rPr>
              <w:t>乙    方：</w:t>
            </w:r>
          </w:p>
        </w:tc>
        <w:tc>
          <w:tcPr>
            <w:tcW w:type="dxa" w:w="4815"/>
          </w:tcPr>
          <w:p>
            <w:pPr>
              <w:jc w:val="left"/>
            </w:pPr>
            <w:r>
              <w:rPr>
                <w:u w:val="single"/>
              </w:rPr>
              <w:t xml:space="preserve"> </w:t>
            </w:r>
            <w:r>
              <w:rPr>
                <w:sz w:val="28"/>
                <w:u w:val="single"/>
              </w:rPr>
              <w:t xml:space="preserve">（中标/成交供应商名称）     </w:t>
            </w:r>
          </w:p>
        </w:tc>
      </w:tr>
      <w:tr>
        <w:tc>
          <w:tcPr>
            <w:tcW w:type="dxa" w:w="1620"/>
          </w:tcPr>
          <w:p>
            <w:pPr>
              <w:jc w:val="center"/>
            </w:pPr>
            <w:r>
              <w:rPr>
                <w:sz w:val="28"/>
              </w:rPr>
              <w:t>签订日期：</w:t>
            </w:r>
          </w:p>
        </w:tc>
        <w:tc>
          <w:tcPr>
            <w:tcW w:type="dxa" w:w="4815"/>
          </w:tcPr>
          <w:p>
            <w:pPr>
              <w:jc w:val="left"/>
            </w:pPr>
            <w:r>
              <w:rPr>
                <w:u w:val="single"/>
              </w:rPr>
              <w:t xml:space="preserve">      </w:t>
            </w:r>
            <w:r>
              <w:rPr>
                <w:sz w:val="28"/>
                <w:u w:val="single"/>
              </w:rPr>
              <w:t>年</w:t>
            </w:r>
            <w:r>
              <w:rPr>
                <w:u w:val="single"/>
              </w:rPr>
              <w:t xml:space="preserve">   </w:t>
            </w:r>
            <w:r>
              <w:rPr>
                <w:sz w:val="28"/>
                <w:u w:val="single"/>
              </w:rPr>
              <w:t>月</w:t>
            </w:r>
            <w:r>
              <w:rPr>
                <w:u w:val="single"/>
              </w:rPr>
              <w:t xml:space="preserve">   </w:t>
            </w:r>
            <w:r>
              <w:rPr>
                <w:sz w:val="28"/>
                <w:u w:val="single"/>
              </w:rPr>
              <w:t xml:space="preserve">日       </w:t>
            </w:r>
          </w:p>
        </w:tc>
      </w:tr>
    </w:tbl>
    <w:p>
      <w:pPr>
        <w:jc w:val="center"/>
      </w:pPr>
    </w:p>
    <w:p>
      <w:r>
        <w:rPr>
          <w:color w:val="000000"/>
          <w:sz w:val="21"/>
        </w:rPr>
        <w:t xml:space="preserve"> </w:t>
      </w:r>
    </w:p>
    <w:p/>
    <w:p>
      <w:pPr>
        <w:jc w:val="center"/>
      </w:pPr>
      <w:r>
        <w:br/>
      </w:r>
      <w:r>
        <w:rPr>
          <w:b/>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2"/>
        <w:gridCol w:w="6674"/>
      </w:tblGrid>
      <w:tr>
        <w:tc>
          <w:tcPr>
            <w:tcW w:type="dxa" w:w="1632"/>
          </w:tcPr>
          <w:p>
            <w:pPr>
              <w:jc w:val="both"/>
            </w:pPr>
            <w:r>
              <w:rPr>
                <w:b/>
                <w:color w:val="000000"/>
                <w:sz w:val="21"/>
              </w:rPr>
              <w:t>项目名称：</w:t>
            </w:r>
          </w:p>
        </w:tc>
        <w:tc>
          <w:tcPr>
            <w:tcW w:type="dxa" w:w="6674"/>
          </w:tcPr>
          <w:p>
            <w:r>
              <w:rPr>
                <w:color w:val="000000"/>
                <w:sz w:val="21"/>
                <w:u w:val="single"/>
              </w:rPr>
              <w:t>垃圾焚烧发电厂飞灰固化等项目第三方机构检测服务</w:t>
            </w:r>
          </w:p>
        </w:tc>
      </w:tr>
      <w:tr>
        <w:tc>
          <w:tcPr>
            <w:tcW w:type="dxa" w:w="1632"/>
          </w:tcPr>
          <w:p>
            <w:pPr>
              <w:jc w:val="both"/>
            </w:pPr>
            <w:r>
              <w:rPr>
                <w:b/>
                <w:color w:val="000000"/>
                <w:sz w:val="21"/>
              </w:rPr>
              <w:t>项目编号：</w:t>
            </w:r>
          </w:p>
        </w:tc>
        <w:tc>
          <w:tcPr>
            <w:tcW w:type="dxa" w:w="6674"/>
          </w:tcPr>
          <w:p>
            <w:pPr>
              <w:jc w:val="both"/>
            </w:pPr>
            <w:r>
              <w:rPr>
                <w:color w:val="000000"/>
                <w:sz w:val="21"/>
                <w:u w:val="single"/>
              </w:rPr>
              <w:t>JF2022(NH)WS0111</w:t>
            </w:r>
          </w:p>
        </w:tc>
      </w:tr>
      <w:tr>
        <w:tc>
          <w:tcPr>
            <w:tcW w:type="dxa" w:w="1632"/>
          </w:tcPr>
          <w:p>
            <w:pPr>
              <w:jc w:val="both"/>
            </w:pPr>
            <w:r>
              <w:rPr>
                <w:b/>
                <w:color w:val="000000"/>
                <w:sz w:val="21"/>
              </w:rPr>
              <w:t>甲    方：</w:t>
            </w:r>
          </w:p>
        </w:tc>
        <w:tc>
          <w:tcPr>
            <w:tcW w:type="dxa" w:w="6674"/>
          </w:tcPr>
          <w:p>
            <w:pPr>
              <w:jc w:val="both"/>
            </w:pPr>
            <w:r>
              <w:rPr>
                <w:color w:val="000000"/>
                <w:sz w:val="21"/>
                <w:u w:val="single"/>
              </w:rPr>
              <w:t>佛山市南海区城市管理和综合执法局</w:t>
            </w:r>
          </w:p>
        </w:tc>
      </w:tr>
      <w:tr>
        <w:tc>
          <w:tcPr>
            <w:tcW w:type="dxa" w:w="1632"/>
          </w:tcPr>
          <w:p>
            <w:pPr>
              <w:jc w:val="both"/>
            </w:pPr>
            <w:r>
              <w:rPr>
                <w:b/>
                <w:color w:val="000000"/>
                <w:sz w:val="21"/>
              </w:rPr>
              <w:t>乙    方：</w:t>
            </w:r>
          </w:p>
        </w:tc>
        <w:tc>
          <w:tcPr>
            <w:tcW w:type="dxa" w:w="6674"/>
          </w:tcPr>
          <w:p>
            <w:pPr>
              <w:jc w:val="both"/>
            </w:pPr>
            <w:r>
              <w:rPr>
                <w:color w:val="000000"/>
                <w:sz w:val="21"/>
                <w:u w:val="single"/>
              </w:rPr>
              <w:t xml:space="preserve">（中标/成交供应商）                                </w:t>
            </w:r>
          </w:p>
        </w:tc>
      </w:tr>
    </w:tbl>
    <w:p>
      <w:pPr>
        <w:jc w:val="both"/>
      </w:pPr>
    </w:p>
    <w:p>
      <w:pPr>
        <w:ind w:firstLine="420"/>
        <w:jc w:val="both"/>
      </w:pPr>
      <w:r>
        <w:rPr>
          <w:color w:val="000000"/>
          <w:sz w:val="21"/>
        </w:rPr>
        <w:t>根据《中华人民共和国政府采购法》《中华人民共和国民法典》和本项目采购文件的要求，</w:t>
      </w:r>
      <w:r>
        <w:rPr>
          <w:color w:val="000000"/>
          <w:sz w:val="21"/>
        </w:rPr>
        <w:t>经双方协商，</w:t>
      </w:r>
      <w:r>
        <w:rPr>
          <w:color w:val="000000"/>
          <w:sz w:val="21"/>
        </w:rPr>
        <w:t>本着平等互利和诚实信用的原则，</w:t>
      </w:r>
      <w:r>
        <w:rPr>
          <w:color w:val="000000"/>
          <w:sz w:val="21"/>
        </w:rPr>
        <w:t>一致同意签订本合同如下。</w:t>
      </w:r>
    </w:p>
    <w:p>
      <w:pPr>
        <w:jc w:val="both"/>
      </w:pPr>
      <w:r>
        <w:rPr>
          <w:b/>
          <w:color w:val="000000"/>
          <w:sz w:val="21"/>
        </w:rPr>
        <w:t>一、项目主要内容及实现功能目标：</w:t>
      </w:r>
    </w:p>
    <w:p>
      <w:pPr>
        <w:ind w:firstLine="424"/>
      </w:pPr>
      <w:r>
        <w:rPr>
          <w:color w:val="000000"/>
          <w:sz w:val="21"/>
        </w:rPr>
        <w:t>（1）南海垃圾焚烧发电厂园区排水</w:t>
      </w:r>
    </w:p>
    <w:p>
      <w:pPr>
        <w:ind w:firstLine="424"/>
        <w:jc w:val="both"/>
      </w:pPr>
      <w:r>
        <w:rPr>
          <w:color w:val="000000"/>
          <w:sz w:val="21"/>
        </w:rPr>
        <w:t>南海固废处理环保产业园所有外排水均排至位于园区东北侧的海灵王水库，排放水主要来源于园区雨水、地面冲洗水等，根据环评要求，需每年对园区排放水进行两次取样检测，监测项目包括：pH、CODcr、BOD5、SS、氨氮、磷酸（以P计）、LAS、动植物油、色度、总铜、总锌、总锰，共12项，其中pH、CODcr、BOD5、氨氮、总铜、总锌执行《地表水环境质量标准》（GB3838-2002）IV类标准；SS、磷酸（以P计）、LAS、动植物油、色度、总锰执行《广东省水污染排放限值》（DB44/26-2001）第二时段二级标准 ，对排水每年检测2次，共2个取水点，由乙方取样检测。</w:t>
      </w:r>
    </w:p>
    <w:p>
      <w:pPr>
        <w:ind w:firstLine="424"/>
      </w:pPr>
      <w:r>
        <w:rPr>
          <w:color w:val="000000"/>
          <w:sz w:val="21"/>
        </w:rPr>
        <w:t>（2）飞灰处置厂固化后的飞灰</w:t>
      </w:r>
    </w:p>
    <w:p>
      <w:pPr>
        <w:ind w:firstLine="424"/>
      </w:pPr>
      <w:r>
        <w:rPr>
          <w:color w:val="000000"/>
          <w:sz w:val="21"/>
        </w:rPr>
        <w:t>飞灰处置厂运营方为绿电公司，分为一厂飞灰处置厂、二厂飞灰处置厂和三厂飞灰处置厂，目前主要采用螯合剂加水的方式进行稳定化处理：将从余热锅炉和烟气处理系统收集的飞灰和螯合剂、水经计量配比后搅拌后将物料做成固化块，经适当时间养护后外运至填埋场填埋。</w:t>
      </w:r>
    </w:p>
    <w:p>
      <w:pPr>
        <w:ind w:firstLine="424"/>
      </w:pPr>
      <w:r>
        <w:rPr>
          <w:color w:val="000000"/>
          <w:sz w:val="21"/>
        </w:rPr>
        <w:t>垃圾焚烧厂产生的飞灰经稳定化处理后送往小塘灰渣无害化处置场填埋处理，飞灰固化块执行《生活垃圾填埋场污染物控制标准》GB16889-2008。根据标准要求飞灰固化块日常检测周期为每星期一次采样检测（若遇到特殊情况，如疫情封闭管控不能进厂等情况，每周检查时间可延后，未必一定为星期一），每次15个样品（一厂、二厂和三厂各5个），检测项目一共13项，包括含水率及汞、铜、锌、铅、镉、铍、钡、镍、砷、总铬、六价铬、硒；其中飞灰固化块产生的二噁英每年检测频率为2次，（三家焚烧厂各取1个样），全部由乙方取样检测。</w:t>
      </w:r>
    </w:p>
    <w:p>
      <w:pPr>
        <w:ind w:firstLine="424"/>
      </w:pPr>
      <w:r>
        <w:rPr>
          <w:color w:val="000000"/>
          <w:sz w:val="21"/>
        </w:rPr>
        <w:t>飞灰固化块二噁英检测须符合《飞灰固化块 GB16889-2008 二噁英》的检测要求，如乙方无法满足此要求的，可委派给具有相应资质的单位进行检测，检测的要求需按磋商文件要求、时间和检测标准执行，由此产生的费用由乙方承担。</w:t>
      </w:r>
    </w:p>
    <w:p>
      <w:pPr>
        <w:ind w:firstLine="424"/>
      </w:pPr>
      <w:r>
        <w:rPr>
          <w:color w:val="000000"/>
          <w:sz w:val="21"/>
        </w:rPr>
        <w:t>（3）小塘灰渣无害化处置场地下水</w:t>
      </w:r>
    </w:p>
    <w:p>
      <w:pPr>
        <w:ind w:firstLine="424"/>
      </w:pPr>
      <w:r>
        <w:rPr>
          <w:color w:val="000000"/>
          <w:sz w:val="21"/>
        </w:rPr>
        <w:t>小塘灰渣无害化处置场运营方为佛山市领域工业固体废物处理有限公司，位于南海区狮山镇狮岭原走马营雄风石矿场内，一期设计规模为10万m3，于2012年11月建成投运。现有一期工程填埋库区面积17295m2，库容10万m3；新增扩建区域二期占地面积102397m2，占地位置位于现有工程的南侧，库容为250.9万m3（含现有工程库容10万m3）。填埋场污水统一收集至污水收集池，经过污水预处理系统进行预处理，再用专用槽车将污水外运至市政污水处理厂处理。</w:t>
      </w:r>
    </w:p>
    <w:p>
      <w:pPr>
        <w:ind w:firstLine="424"/>
      </w:pPr>
      <w:r>
        <w:rPr>
          <w:color w:val="000000"/>
          <w:sz w:val="21"/>
        </w:rPr>
        <w:t>根据“佛山市领域工业固体废物处理有限公司填埋场改扩建工程”《建设项目竣工环境保护验收调查报告》的要求，需每季度对填埋场地下水进行一次取样检测，每次取3个样品（共3个地下水井，每个井取1个样），监测因子包括21项：pH、耗氧量、硝酸盐、亚硝酸盐、氨氮、挥发酚、氟化物、总硬度、溶解性总固体、总大肠菌群、铍、钡、砷、汞、铅、镉、铜、锌、镍、硒、六价铬，执行《地下水环境质量标准》GB/T14848-2017 Ⅲ类标准。对小塘灰渣无害化处置场地下水每季度检测1次，每次3个水样，由乙方取样检测。</w:t>
      </w:r>
    </w:p>
    <w:p>
      <w:pPr>
        <w:ind w:firstLine="441"/>
      </w:pPr>
      <w:r>
        <w:rPr>
          <w:color w:val="000000"/>
          <w:sz w:val="21"/>
        </w:rPr>
        <w:t>（4）检测内容</w:t>
      </w:r>
    </w:p>
    <w:tbl>
      <w:tblPr>
        <w:tblW w:w="0" w:type="auto"/>
        <w:tblBorders>
          <w:top w:val="single"/>
          <w:left w:val="single"/>
          <w:bottom w:val="single"/>
          <w:right w:val="single"/>
          <w:insideH w:val="single"/>
          <w:insideV w:val="single"/>
        </w:tblBorders>
      </w:tblPr>
      <w:tblGrid>
        <w:gridCol w:w="1356"/>
        <w:gridCol w:w="1865"/>
        <w:gridCol w:w="2119"/>
        <w:gridCol w:w="1017"/>
        <w:gridCol w:w="1017"/>
        <w:gridCol w:w="932"/>
      </w:tblGrid>
      <w:tr>
        <w:tc>
          <w:tcPr>
            <w:tcW w:type="dxa" w:w="1356"/>
            <w:tcBorders>
              <w:top w:val="single" w:color="000000" w:sz="4"/>
              <w:left w:val="single" w:color="000000" w:sz="4"/>
              <w:bottom w:val="single" w:color="000000" w:sz="4"/>
              <w:right w:val="single" w:color="000000" w:sz="4"/>
            </w:tcBorders>
          </w:tcPr>
          <w:p>
            <w:pPr>
              <w:jc w:val="center"/>
            </w:pPr>
            <w:r>
              <w:rPr>
                <w:color w:val="000000"/>
                <w:sz w:val="21"/>
              </w:rPr>
              <w:t>项目</w:t>
            </w:r>
          </w:p>
        </w:tc>
        <w:tc>
          <w:tcPr>
            <w:tcW w:type="dxa" w:w="1865"/>
            <w:tcBorders>
              <w:top w:val="single" w:color="000000" w:sz="4"/>
              <w:left w:val="none" w:color="000000" w:sz="4"/>
              <w:bottom w:val="single" w:color="000000" w:sz="4"/>
              <w:right w:val="single" w:color="000000" w:sz="4"/>
            </w:tcBorders>
          </w:tcPr>
          <w:p>
            <w:pPr>
              <w:jc w:val="center"/>
            </w:pPr>
            <w:r>
              <w:rPr>
                <w:color w:val="000000"/>
                <w:sz w:val="21"/>
              </w:rPr>
              <w:t>执行标准</w:t>
            </w:r>
          </w:p>
        </w:tc>
        <w:tc>
          <w:tcPr>
            <w:tcW w:type="dxa" w:w="2119"/>
            <w:tcBorders>
              <w:top w:val="single" w:color="000000" w:sz="4"/>
              <w:left w:val="none" w:color="000000" w:sz="4"/>
              <w:bottom w:val="single" w:color="000000" w:sz="4"/>
              <w:right w:val="single" w:color="000000" w:sz="4"/>
            </w:tcBorders>
          </w:tcPr>
          <w:p>
            <w:pPr>
              <w:jc w:val="center"/>
            </w:pPr>
            <w:r>
              <w:rPr>
                <w:color w:val="000000"/>
                <w:sz w:val="21"/>
              </w:rPr>
              <w:t>检测指标</w:t>
            </w:r>
          </w:p>
        </w:tc>
        <w:tc>
          <w:tcPr>
            <w:tcW w:type="dxa" w:w="1017"/>
            <w:tcBorders>
              <w:top w:val="single" w:color="000000" w:sz="4"/>
              <w:left w:val="none" w:color="000000" w:sz="4"/>
              <w:bottom w:val="single" w:color="000000" w:sz="4"/>
              <w:right w:val="single" w:color="000000" w:sz="4"/>
            </w:tcBorders>
          </w:tcPr>
          <w:p>
            <w:pPr>
              <w:jc w:val="center"/>
            </w:pPr>
            <w:r>
              <w:rPr>
                <w:color w:val="000000"/>
                <w:sz w:val="21"/>
              </w:rPr>
              <w:t>采样地点</w:t>
            </w:r>
          </w:p>
        </w:tc>
        <w:tc>
          <w:tcPr>
            <w:tcW w:type="dxa" w:w="1017"/>
            <w:tcBorders>
              <w:top w:val="single" w:color="000000" w:sz="4"/>
              <w:left w:val="none" w:color="000000" w:sz="4"/>
              <w:bottom w:val="single" w:color="000000" w:sz="4"/>
              <w:right w:val="single" w:color="000000" w:sz="4"/>
            </w:tcBorders>
          </w:tcPr>
          <w:p>
            <w:pPr>
              <w:jc w:val="center"/>
            </w:pPr>
            <w:r>
              <w:rPr>
                <w:color w:val="000000"/>
                <w:sz w:val="21"/>
              </w:rPr>
              <w:t>采样频率</w:t>
            </w:r>
          </w:p>
        </w:tc>
        <w:tc>
          <w:tcPr>
            <w:tcW w:type="dxa" w:w="932"/>
            <w:tcBorders>
              <w:top w:val="single" w:color="000000" w:sz="4"/>
              <w:left w:val="none" w:color="000000" w:sz="4"/>
              <w:bottom w:val="single" w:color="000000" w:sz="4"/>
              <w:right w:val="single" w:color="000000" w:sz="4"/>
            </w:tcBorders>
          </w:tcPr>
          <w:p>
            <w:pPr>
              <w:jc w:val="center"/>
            </w:pPr>
            <w:r>
              <w:rPr>
                <w:color w:val="000000"/>
                <w:sz w:val="21"/>
              </w:rPr>
              <w:t>单次样品</w:t>
            </w:r>
            <w:r>
              <w:br/>
            </w:r>
            <w:r>
              <w:rPr>
                <w:color w:val="000000"/>
                <w:sz w:val="21"/>
              </w:rPr>
              <w:t>数量</w:t>
            </w:r>
          </w:p>
        </w:tc>
      </w:tr>
      <w:tr>
        <w:tc>
          <w:tcPr>
            <w:tcW w:type="dxa" w:w="1356"/>
            <w:tcBorders>
              <w:top w:val="none" w:color="000000" w:sz="4"/>
              <w:left w:val="single" w:color="000000" w:sz="4"/>
              <w:bottom w:val="single" w:color="000000" w:sz="4"/>
              <w:right w:val="single" w:color="000000" w:sz="4"/>
            </w:tcBorders>
          </w:tcPr>
          <w:p>
            <w:pPr>
              <w:jc w:val="center"/>
            </w:pPr>
            <w:r>
              <w:rPr>
                <w:color w:val="000000"/>
                <w:sz w:val="21"/>
              </w:rPr>
              <w:t>飞灰固化块二噁英检测</w:t>
            </w:r>
          </w:p>
        </w:tc>
        <w:tc>
          <w:tcPr>
            <w:tcW w:type="dxa" w:w="1865"/>
            <w:tcBorders>
              <w:top w:val="none" w:color="000000" w:sz="4"/>
              <w:left w:val="none" w:color="000000" w:sz="4"/>
              <w:bottom w:val="single" w:color="000000" w:sz="4"/>
              <w:right w:val="single" w:color="000000" w:sz="4"/>
            </w:tcBorders>
          </w:tcPr>
          <w:p>
            <w:pPr>
              <w:jc w:val="center"/>
            </w:pPr>
            <w:r>
              <w:rPr>
                <w:color w:val="000000"/>
                <w:sz w:val="21"/>
              </w:rPr>
              <w:t>GB16889-2008</w:t>
            </w:r>
          </w:p>
        </w:tc>
        <w:tc>
          <w:tcPr>
            <w:tcW w:type="dxa" w:w="2119"/>
            <w:tcBorders>
              <w:top w:val="none" w:color="000000" w:sz="4"/>
              <w:left w:val="none" w:color="000000" w:sz="4"/>
              <w:bottom w:val="single" w:color="000000" w:sz="4"/>
              <w:right w:val="single" w:color="000000" w:sz="4"/>
            </w:tcBorders>
          </w:tcPr>
          <w:p>
            <w:pPr>
              <w:jc w:val="center"/>
            </w:pPr>
            <w:r>
              <w:rPr>
                <w:color w:val="000000"/>
                <w:sz w:val="21"/>
              </w:rPr>
              <w:t>二噁英</w:t>
            </w:r>
          </w:p>
        </w:tc>
        <w:tc>
          <w:tcPr>
            <w:tcW w:type="dxa" w:w="1017"/>
            <w:vMerge w:val="restart"/>
            <w:tcBorders>
              <w:top w:val="none" w:color="000000" w:sz="4"/>
              <w:left w:val="none" w:color="000000" w:sz="4"/>
              <w:bottom w:val="single" w:color="000000" w:sz="4"/>
              <w:right w:val="single" w:color="000000" w:sz="4"/>
            </w:tcBorders>
          </w:tcPr>
          <w:p>
            <w:pPr>
              <w:jc w:val="center"/>
            </w:pPr>
            <w:r>
              <w:rPr>
                <w:color w:val="000000"/>
                <w:sz w:val="21"/>
              </w:rPr>
              <w:t>环保产业园</w:t>
            </w:r>
          </w:p>
        </w:tc>
        <w:tc>
          <w:tcPr>
            <w:tcW w:type="dxa" w:w="1017"/>
            <w:tcBorders>
              <w:top w:val="none" w:color="000000" w:sz="4"/>
              <w:left w:val="none" w:color="000000" w:sz="4"/>
              <w:bottom w:val="single" w:color="000000" w:sz="4"/>
              <w:right w:val="single" w:color="000000" w:sz="4"/>
            </w:tcBorders>
          </w:tcPr>
          <w:p>
            <w:pPr>
              <w:jc w:val="center"/>
            </w:pPr>
            <w:r>
              <w:rPr>
                <w:color w:val="000000"/>
                <w:sz w:val="21"/>
              </w:rPr>
              <w:t>2</w:t>
            </w:r>
            <w:r>
              <w:rPr>
                <w:color w:val="000000"/>
                <w:sz w:val="21"/>
              </w:rPr>
              <w:t>次</w:t>
            </w:r>
            <w:r>
              <w:rPr>
                <w:color w:val="000000"/>
                <w:sz w:val="21"/>
              </w:rPr>
              <w:t>/</w:t>
            </w:r>
            <w:r>
              <w:rPr>
                <w:color w:val="000000"/>
                <w:sz w:val="21"/>
              </w:rPr>
              <w:t>年</w:t>
            </w:r>
          </w:p>
        </w:tc>
        <w:tc>
          <w:tcPr>
            <w:tcW w:type="dxa" w:w="932"/>
            <w:tcBorders>
              <w:top w:val="none" w:color="000000" w:sz="4"/>
              <w:left w:val="none" w:color="000000" w:sz="4"/>
              <w:bottom w:val="single" w:color="000000" w:sz="4"/>
              <w:right w:val="single" w:color="000000" w:sz="4"/>
            </w:tcBorders>
          </w:tcPr>
          <w:p>
            <w:pPr>
              <w:jc w:val="center"/>
            </w:pPr>
            <w:r>
              <w:rPr>
                <w:color w:val="000000"/>
                <w:sz w:val="21"/>
              </w:rPr>
              <w:t>3</w:t>
            </w:r>
            <w:r>
              <w:rPr>
                <w:color w:val="000000"/>
                <w:sz w:val="21"/>
              </w:rPr>
              <w:t>个</w:t>
            </w:r>
          </w:p>
        </w:tc>
      </w:tr>
      <w:tr>
        <w:tc>
          <w:tcPr>
            <w:tcW w:type="dxa" w:w="1356"/>
            <w:tcBorders>
              <w:top w:val="none" w:color="000000" w:sz="4"/>
              <w:left w:val="single" w:color="000000" w:sz="4"/>
              <w:bottom w:val="single" w:color="000000" w:sz="4"/>
              <w:right w:val="single" w:color="000000" w:sz="4"/>
            </w:tcBorders>
          </w:tcPr>
          <w:p>
            <w:pPr>
              <w:jc w:val="center"/>
            </w:pPr>
            <w:r>
              <w:rPr>
                <w:color w:val="000000"/>
                <w:sz w:val="21"/>
              </w:rPr>
              <w:t>飞灰固化块浸出液毒性检测</w:t>
            </w:r>
          </w:p>
        </w:tc>
        <w:tc>
          <w:tcPr>
            <w:tcW w:type="dxa" w:w="1865"/>
            <w:tcBorders>
              <w:top w:val="none" w:color="000000" w:sz="4"/>
              <w:left w:val="none" w:color="000000" w:sz="4"/>
              <w:bottom w:val="single" w:color="000000" w:sz="4"/>
              <w:right w:val="single" w:color="000000" w:sz="4"/>
            </w:tcBorders>
          </w:tcPr>
          <w:p>
            <w:pPr>
              <w:jc w:val="center"/>
            </w:pPr>
            <w:r>
              <w:rPr>
                <w:color w:val="000000"/>
                <w:sz w:val="21"/>
              </w:rPr>
              <w:t>GB16889-2008</w:t>
            </w:r>
          </w:p>
        </w:tc>
        <w:tc>
          <w:tcPr>
            <w:tcW w:type="dxa" w:w="2119"/>
            <w:tcBorders>
              <w:top w:val="none" w:color="000000" w:sz="4"/>
              <w:left w:val="none" w:color="000000" w:sz="4"/>
              <w:bottom w:val="single" w:color="000000" w:sz="4"/>
              <w:right w:val="single" w:color="000000" w:sz="4"/>
            </w:tcBorders>
          </w:tcPr>
          <w:p>
            <w:pPr>
              <w:jc w:val="center"/>
            </w:pPr>
            <w:r>
              <w:rPr>
                <w:color w:val="000000"/>
                <w:sz w:val="21"/>
              </w:rPr>
              <w:t>含水率、汞、铜、锌、铅、镉、铍、钡、镍、砷、总铬、六价铬、硒</w:t>
            </w:r>
          </w:p>
        </w:tc>
        <w:tc>
          <w:tcPr>
            <w:tcW w:type="dxa" w:w="1017"/>
            <w:vMerge/>
            <w:tcBorders>
              <w:top w:val="none" w:color="000000" w:sz="4"/>
              <w:left w:val="none" w:color="000000" w:sz="4"/>
              <w:bottom w:val="single" w:color="000000" w:sz="4"/>
              <w:right w:val="single" w:color="000000" w:sz="4"/>
            </w:tcBorders>
          </w:tcPr>
          <w:p/>
        </w:tc>
        <w:tc>
          <w:tcPr>
            <w:tcW w:type="dxa" w:w="1017"/>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次</w:t>
            </w:r>
            <w:r>
              <w:rPr>
                <w:color w:val="000000"/>
                <w:sz w:val="21"/>
              </w:rPr>
              <w:t>/</w:t>
            </w:r>
            <w:r>
              <w:rPr>
                <w:color w:val="000000"/>
                <w:sz w:val="21"/>
              </w:rPr>
              <w:t>周</w:t>
            </w:r>
          </w:p>
        </w:tc>
        <w:tc>
          <w:tcPr>
            <w:tcW w:type="dxa" w:w="932"/>
            <w:tcBorders>
              <w:top w:val="none" w:color="000000" w:sz="4"/>
              <w:left w:val="none" w:color="000000" w:sz="4"/>
              <w:bottom w:val="single" w:color="000000" w:sz="4"/>
              <w:right w:val="single" w:color="000000" w:sz="4"/>
            </w:tcBorders>
          </w:tcPr>
          <w:p>
            <w:pPr>
              <w:jc w:val="center"/>
            </w:pPr>
            <w:r>
              <w:rPr>
                <w:color w:val="000000"/>
                <w:sz w:val="21"/>
              </w:rPr>
              <w:t>15</w:t>
            </w:r>
            <w:r>
              <w:rPr>
                <w:color w:val="000000"/>
                <w:sz w:val="21"/>
              </w:rPr>
              <w:t>个</w:t>
            </w:r>
          </w:p>
        </w:tc>
      </w:tr>
      <w:tr>
        <w:tc>
          <w:tcPr>
            <w:tcW w:type="dxa" w:w="1356"/>
            <w:vMerge w:val="restart"/>
            <w:tcBorders>
              <w:top w:val="none" w:color="000000" w:sz="4"/>
              <w:left w:val="single" w:color="000000" w:sz="4"/>
              <w:bottom w:val="single" w:color="000000" w:sz="4"/>
              <w:right w:val="single" w:color="000000" w:sz="4"/>
            </w:tcBorders>
          </w:tcPr>
          <w:p>
            <w:pPr>
              <w:jc w:val="center"/>
            </w:pPr>
            <w:r>
              <w:rPr>
                <w:color w:val="000000"/>
                <w:sz w:val="21"/>
              </w:rPr>
              <w:t>园区地表水检测</w:t>
            </w:r>
          </w:p>
        </w:tc>
        <w:tc>
          <w:tcPr>
            <w:tcW w:type="dxa" w:w="1865"/>
            <w:tcBorders>
              <w:top w:val="none" w:color="000000" w:sz="4"/>
              <w:left w:val="none" w:color="000000" w:sz="4"/>
              <w:bottom w:val="single" w:color="000000" w:sz="4"/>
              <w:right w:val="single" w:color="000000" w:sz="4"/>
            </w:tcBorders>
          </w:tcPr>
          <w:p>
            <w:pPr>
              <w:jc w:val="center"/>
            </w:pPr>
            <w:r>
              <w:rPr>
                <w:color w:val="000000"/>
                <w:sz w:val="21"/>
              </w:rPr>
              <w:t>（</w:t>
            </w:r>
            <w:r>
              <w:rPr>
                <w:color w:val="000000"/>
                <w:sz w:val="21"/>
              </w:rPr>
              <w:t>GB3838-2002</w:t>
            </w:r>
            <w:r>
              <w:rPr>
                <w:color w:val="000000"/>
                <w:sz w:val="21"/>
              </w:rPr>
              <w:t>）</w:t>
            </w:r>
            <w:r>
              <w:br/>
            </w:r>
            <w:r>
              <w:rPr>
                <w:color w:val="000000"/>
                <w:sz w:val="21"/>
              </w:rPr>
              <w:t>Ⅳ类标准</w:t>
            </w:r>
          </w:p>
        </w:tc>
        <w:tc>
          <w:tcPr>
            <w:tcW w:type="dxa" w:w="2119"/>
            <w:tcBorders>
              <w:top w:val="none" w:color="000000" w:sz="4"/>
              <w:left w:val="none" w:color="000000" w:sz="4"/>
              <w:bottom w:val="single" w:color="000000" w:sz="4"/>
              <w:right w:val="single" w:color="000000" w:sz="4"/>
            </w:tcBorders>
          </w:tcPr>
          <w:p>
            <w:pPr>
              <w:jc w:val="center"/>
            </w:pPr>
            <w:r>
              <w:rPr>
                <w:color w:val="000000"/>
                <w:sz w:val="21"/>
              </w:rPr>
              <w:t>pH</w:t>
            </w:r>
            <w:r>
              <w:rPr>
                <w:color w:val="000000"/>
                <w:sz w:val="21"/>
              </w:rPr>
              <w:t>、</w:t>
            </w:r>
            <w:r>
              <w:rPr>
                <w:color w:val="000000"/>
                <w:sz w:val="21"/>
              </w:rPr>
              <w:t>CODcr</w:t>
            </w:r>
            <w:r>
              <w:rPr>
                <w:color w:val="000000"/>
                <w:sz w:val="21"/>
              </w:rPr>
              <w:t>、</w:t>
            </w:r>
            <w:r>
              <w:rPr>
                <w:color w:val="000000"/>
                <w:sz w:val="21"/>
              </w:rPr>
              <w:t>BOD5</w:t>
            </w:r>
            <w:r>
              <w:rPr>
                <w:color w:val="000000"/>
                <w:sz w:val="21"/>
              </w:rPr>
              <w:t>、氨氮、总铜、总锌</w:t>
            </w:r>
          </w:p>
        </w:tc>
        <w:tc>
          <w:tcPr>
            <w:tcW w:type="dxa" w:w="1017"/>
            <w:vMerge/>
            <w:tcBorders>
              <w:top w:val="none" w:color="000000" w:sz="4"/>
              <w:left w:val="none" w:color="000000" w:sz="4"/>
              <w:bottom w:val="single" w:color="000000" w:sz="4"/>
              <w:right w:val="single" w:color="000000" w:sz="4"/>
            </w:tcBorders>
          </w:tcPr>
          <w:p/>
        </w:tc>
        <w:tc>
          <w:tcPr>
            <w:tcW w:type="dxa" w:w="1017"/>
            <w:vMerge w:val="restart"/>
            <w:tcBorders>
              <w:top w:val="none" w:color="000000" w:sz="4"/>
              <w:left w:val="none" w:color="000000" w:sz="4"/>
              <w:bottom w:val="single" w:color="000000" w:sz="4"/>
              <w:right w:val="single" w:color="000000" w:sz="4"/>
            </w:tcBorders>
          </w:tcPr>
          <w:p>
            <w:pPr>
              <w:jc w:val="center"/>
            </w:pPr>
            <w:r>
              <w:rPr>
                <w:color w:val="000000"/>
                <w:sz w:val="21"/>
              </w:rPr>
              <w:t>2</w:t>
            </w:r>
            <w:r>
              <w:rPr>
                <w:color w:val="000000"/>
                <w:sz w:val="21"/>
              </w:rPr>
              <w:t>次</w:t>
            </w:r>
            <w:r>
              <w:rPr>
                <w:color w:val="000000"/>
                <w:sz w:val="21"/>
              </w:rPr>
              <w:t>/</w:t>
            </w:r>
            <w:r>
              <w:rPr>
                <w:color w:val="000000"/>
                <w:sz w:val="21"/>
              </w:rPr>
              <w:t>年</w:t>
            </w:r>
          </w:p>
        </w:tc>
        <w:tc>
          <w:tcPr>
            <w:tcW w:type="dxa" w:w="932"/>
            <w:vMerge w:val="restart"/>
            <w:tcBorders>
              <w:top w:val="none" w:color="000000" w:sz="4"/>
              <w:left w:val="none" w:color="000000" w:sz="4"/>
              <w:bottom w:val="single" w:color="000000" w:sz="4"/>
              <w:right w:val="single" w:color="000000" w:sz="4"/>
            </w:tcBorders>
          </w:tcPr>
          <w:p>
            <w:pPr>
              <w:jc w:val="center"/>
            </w:pPr>
            <w:r>
              <w:rPr>
                <w:color w:val="000000"/>
                <w:sz w:val="21"/>
              </w:rPr>
              <w:t>2</w:t>
            </w:r>
            <w:r>
              <w:rPr>
                <w:color w:val="000000"/>
                <w:sz w:val="21"/>
              </w:rPr>
              <w:t>个</w:t>
            </w:r>
          </w:p>
        </w:tc>
      </w:tr>
      <w:tr>
        <w:tc>
          <w:tcPr>
            <w:tcW w:type="dxa" w:w="1356"/>
            <w:vMerge/>
            <w:tcBorders>
              <w:top w:val="none" w:color="000000" w:sz="4"/>
              <w:left w:val="single" w:color="000000" w:sz="4"/>
              <w:bottom w:val="single" w:color="000000" w:sz="4"/>
              <w:right w:val="single" w:color="000000" w:sz="4"/>
            </w:tcBorders>
          </w:tcPr>
          <w:p/>
        </w:tc>
        <w:tc>
          <w:tcPr>
            <w:tcW w:type="dxa" w:w="1865"/>
            <w:tcBorders>
              <w:top w:val="none" w:color="000000" w:sz="4"/>
              <w:left w:val="none" w:color="000000" w:sz="4"/>
              <w:bottom w:val="single" w:color="000000" w:sz="4"/>
              <w:right w:val="single" w:color="000000" w:sz="4"/>
            </w:tcBorders>
          </w:tcPr>
          <w:p>
            <w:pPr>
              <w:jc w:val="center"/>
            </w:pPr>
            <w:r>
              <w:rPr>
                <w:color w:val="000000"/>
                <w:sz w:val="21"/>
              </w:rPr>
              <w:t>（DB44/26-2001）</w:t>
            </w:r>
          </w:p>
          <w:p>
            <w:pPr>
              <w:jc w:val="center"/>
            </w:pPr>
            <w:r>
              <w:rPr>
                <w:color w:val="000000"/>
                <w:sz w:val="21"/>
              </w:rPr>
              <w:t>第二时段二级标准</w:t>
            </w:r>
          </w:p>
        </w:tc>
        <w:tc>
          <w:tcPr>
            <w:tcW w:type="dxa" w:w="2119"/>
            <w:tcBorders>
              <w:top w:val="none" w:color="000000" w:sz="4"/>
              <w:left w:val="none" w:color="000000" w:sz="4"/>
              <w:bottom w:val="single" w:color="000000" w:sz="4"/>
              <w:right w:val="single" w:color="000000" w:sz="4"/>
            </w:tcBorders>
          </w:tcPr>
          <w:p>
            <w:pPr>
              <w:jc w:val="center"/>
            </w:pPr>
            <w:r>
              <w:rPr>
                <w:color w:val="000000"/>
                <w:sz w:val="21"/>
              </w:rPr>
              <w:t>SS</w:t>
            </w:r>
            <w:r>
              <w:rPr>
                <w:color w:val="000000"/>
                <w:sz w:val="21"/>
              </w:rPr>
              <w:t>、磷酸（以</w:t>
            </w:r>
            <w:r>
              <w:rPr>
                <w:color w:val="000000"/>
                <w:sz w:val="21"/>
              </w:rPr>
              <w:t>P</w:t>
            </w:r>
            <w:r>
              <w:rPr>
                <w:color w:val="000000"/>
                <w:sz w:val="21"/>
              </w:rPr>
              <w:t>计）、</w:t>
            </w:r>
            <w:r>
              <w:rPr>
                <w:color w:val="000000"/>
                <w:sz w:val="21"/>
              </w:rPr>
              <w:t>LAS</w:t>
            </w:r>
            <w:r>
              <w:rPr>
                <w:color w:val="000000"/>
                <w:sz w:val="21"/>
              </w:rPr>
              <w:t>、动植物油、色度、总锰</w:t>
            </w:r>
          </w:p>
        </w:tc>
      </w:tr>
      <w:tr>
        <w:tc>
          <w:tcPr>
            <w:tcW w:type="dxa" w:w="1356"/>
            <w:tcBorders>
              <w:top w:val="none" w:color="000000" w:sz="4"/>
              <w:left w:val="single" w:color="000000" w:sz="4"/>
              <w:bottom w:val="single" w:color="000000" w:sz="4"/>
              <w:right w:val="single" w:color="000000" w:sz="4"/>
            </w:tcBorders>
          </w:tcPr>
          <w:p>
            <w:pPr>
              <w:jc w:val="center"/>
            </w:pPr>
            <w:r>
              <w:rPr>
                <w:color w:val="000000"/>
                <w:sz w:val="21"/>
              </w:rPr>
              <w:t>填埋场地下水检测</w:t>
            </w:r>
          </w:p>
        </w:tc>
        <w:tc>
          <w:tcPr>
            <w:tcW w:type="dxa" w:w="1865"/>
            <w:tcBorders>
              <w:top w:val="none" w:color="000000" w:sz="4"/>
              <w:left w:val="none" w:color="000000" w:sz="4"/>
              <w:bottom w:val="single" w:color="000000" w:sz="4"/>
              <w:right w:val="single" w:color="000000" w:sz="4"/>
            </w:tcBorders>
          </w:tcPr>
          <w:p>
            <w:pPr>
              <w:jc w:val="center"/>
            </w:pPr>
            <w:r>
              <w:rPr>
                <w:color w:val="000000"/>
                <w:sz w:val="21"/>
              </w:rPr>
              <w:t>（</w:t>
            </w:r>
            <w:r>
              <w:rPr>
                <w:color w:val="000000"/>
                <w:sz w:val="21"/>
              </w:rPr>
              <w:t>GB/T14848-2017</w:t>
            </w:r>
            <w:r>
              <w:rPr>
                <w:color w:val="000000"/>
                <w:sz w:val="21"/>
              </w:rPr>
              <w:t>）Ⅲ类标准</w:t>
            </w:r>
          </w:p>
        </w:tc>
        <w:tc>
          <w:tcPr>
            <w:tcW w:type="dxa" w:w="2119"/>
            <w:tcBorders>
              <w:top w:val="none" w:color="000000" w:sz="4"/>
              <w:left w:val="none" w:color="000000" w:sz="4"/>
              <w:bottom w:val="single" w:color="000000" w:sz="4"/>
              <w:right w:val="single" w:color="000000" w:sz="4"/>
            </w:tcBorders>
          </w:tcPr>
          <w:p>
            <w:pPr>
              <w:jc w:val="center"/>
            </w:pPr>
            <w:r>
              <w:rPr>
                <w:color w:val="000000"/>
                <w:sz w:val="21"/>
              </w:rPr>
              <w:t>pH</w:t>
            </w:r>
            <w:r>
              <w:rPr>
                <w:color w:val="000000"/>
                <w:sz w:val="21"/>
              </w:rPr>
              <w:t>、耗氧量、硝酸盐、亚硝酸盐、氨氮、挥发酚、氟化物、总硬度、溶解性总固体、总大肠菌群、铍、钡、砷、汞、铅、镉、铜、锌、镍、硒、六价铬</w:t>
            </w:r>
          </w:p>
        </w:tc>
        <w:tc>
          <w:tcPr>
            <w:tcW w:type="dxa" w:w="1017"/>
            <w:tcBorders>
              <w:top w:val="none" w:color="000000" w:sz="4"/>
              <w:left w:val="none" w:color="000000" w:sz="4"/>
              <w:bottom w:val="single" w:color="000000" w:sz="4"/>
              <w:right w:val="single" w:color="000000" w:sz="4"/>
            </w:tcBorders>
          </w:tcPr>
          <w:p>
            <w:pPr>
              <w:jc w:val="center"/>
            </w:pPr>
            <w:r>
              <w:rPr>
                <w:color w:val="000000"/>
                <w:sz w:val="21"/>
              </w:rPr>
              <w:t>小塘填埋场</w:t>
            </w:r>
          </w:p>
        </w:tc>
        <w:tc>
          <w:tcPr>
            <w:tcW w:type="dxa" w:w="1017"/>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次</w:t>
            </w:r>
            <w:r>
              <w:rPr>
                <w:color w:val="000000"/>
                <w:sz w:val="21"/>
              </w:rPr>
              <w:t>/</w:t>
            </w:r>
            <w:r>
              <w:rPr>
                <w:color w:val="000000"/>
                <w:sz w:val="21"/>
              </w:rPr>
              <w:t>季</w:t>
            </w:r>
          </w:p>
        </w:tc>
        <w:tc>
          <w:tcPr>
            <w:tcW w:type="dxa" w:w="932"/>
            <w:tcBorders>
              <w:top w:val="none" w:color="000000" w:sz="4"/>
              <w:left w:val="none" w:color="000000" w:sz="4"/>
              <w:bottom w:val="single" w:color="000000" w:sz="4"/>
              <w:right w:val="single" w:color="000000" w:sz="4"/>
            </w:tcBorders>
          </w:tcPr>
          <w:p>
            <w:pPr>
              <w:jc w:val="center"/>
            </w:pPr>
            <w:r>
              <w:rPr>
                <w:color w:val="000000"/>
                <w:sz w:val="21"/>
              </w:rPr>
              <w:t>3</w:t>
            </w:r>
            <w:r>
              <w:rPr>
                <w:color w:val="000000"/>
                <w:sz w:val="21"/>
              </w:rPr>
              <w:t>个</w:t>
            </w:r>
          </w:p>
        </w:tc>
      </w:tr>
    </w:tbl>
    <w:p>
      <w:pPr>
        <w:ind w:firstLine="424"/>
      </w:pPr>
      <w:r>
        <w:rPr>
          <w:color w:val="000000"/>
          <w:sz w:val="21"/>
        </w:rPr>
        <w:t>合同期内需要更改检测内容的，乙方应按照新标准无条件配合变更检测方案。如乙方因自身技术问题无法按照甲方的新标准及方案进行检测的，应至少提前30日告知甲方，如有严重影响到甲方的工作所需，甲方有权终止合同且不作任何补偿。检测费用单价将通过签订补充协议或次年协议确认。</w:t>
      </w:r>
    </w:p>
    <w:p>
      <w:pPr>
        <w:ind w:firstLine="424"/>
      </w:pPr>
      <w:r>
        <w:rPr>
          <w:color w:val="000000"/>
          <w:sz w:val="21"/>
        </w:rPr>
        <w:t>（5）取样方式</w:t>
      </w:r>
    </w:p>
    <w:p>
      <w:pPr>
        <w:ind w:firstLine="424"/>
      </w:pPr>
      <w:r>
        <w:rPr>
          <w:color w:val="000000"/>
          <w:sz w:val="21"/>
        </w:rPr>
        <w:t>由乙方到现场采样，采样地址如下：</w:t>
      </w:r>
    </w:p>
    <w:p>
      <w:pPr>
        <w:ind w:firstLine="424"/>
      </w:pPr>
      <w:r>
        <w:rPr>
          <w:color w:val="000000"/>
          <w:sz w:val="21"/>
        </w:rPr>
        <w:t>南海垃圾焚烧发电厂园区排水采样地址：佛山市南海区狮山林场大榄分场；</w:t>
      </w:r>
    </w:p>
    <w:p>
      <w:pPr>
        <w:ind w:firstLine="424"/>
      </w:pPr>
      <w:r>
        <w:rPr>
          <w:color w:val="000000"/>
          <w:sz w:val="21"/>
        </w:rPr>
        <w:t>垃圾焚烧飞灰固化块采样地址：佛山市南海区狮山林场大榄分场；</w:t>
      </w:r>
    </w:p>
    <w:p>
      <w:pPr>
        <w:ind w:firstLine="424"/>
      </w:pPr>
      <w:r>
        <w:rPr>
          <w:color w:val="000000"/>
          <w:sz w:val="21"/>
        </w:rPr>
        <w:t>小塘灰渣无害化处置场地下水采样地址：佛山市南海区狮山镇狮岭原走马营雄风石矿场内。</w:t>
      </w:r>
    </w:p>
    <w:p>
      <w:pPr>
        <w:ind w:firstLine="424"/>
      </w:pPr>
      <w:r>
        <w:rPr>
          <w:color w:val="000000"/>
          <w:sz w:val="21"/>
        </w:rPr>
        <w:t>乙方负责派员到现场随机进行取样，被检单位人员与采样人员一同取样，由甲方委托的第三方监管单位在场见证监督取样过程，共同签署取样记录，并拍照留存。</w:t>
      </w:r>
    </w:p>
    <w:p>
      <w:pPr>
        <w:jc w:val="both"/>
      </w:pPr>
      <w:r>
        <w:rPr>
          <w:b/>
          <w:color w:val="000000"/>
          <w:sz w:val="21"/>
        </w:rPr>
        <w:t>二、产品及服务供应清单：</w:t>
      </w:r>
      <w:r>
        <w:rPr>
          <w:color w:val="000000"/>
          <w:sz w:val="21"/>
        </w:rPr>
        <w:t>见附件一</w:t>
      </w:r>
      <w:r>
        <w:rPr>
          <w:color w:val="000000"/>
          <w:sz w:val="21"/>
        </w:rPr>
        <w:t>《报价分析表》。</w:t>
      </w:r>
    </w:p>
    <w:p>
      <w:pPr>
        <w:jc w:val="both"/>
      </w:pPr>
      <w:r>
        <w:rPr>
          <w:b/>
          <w:color w:val="000000"/>
          <w:sz w:val="21"/>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8"/>
        <w:gridCol w:w="6198"/>
      </w:tblGrid>
      <w:tr>
        <w:tc>
          <w:tcPr>
            <w:tcW w:type="dxa" w:w="670"/>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38"/>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8"/>
            <w:tcBorders>
              <w:top w:val="single" w:color="000000" w:sz="4"/>
              <w:left w:val="none" w:color="000000" w:sz="4"/>
              <w:bottom w:val="single" w:color="000000" w:sz="4"/>
              <w:right w:val="single" w:color="000000" w:sz="4"/>
            </w:tcBorders>
          </w:tcPr>
          <w:p>
            <w:pPr>
              <w:jc w:val="center"/>
            </w:pPr>
            <w:r>
              <w:rPr>
                <w:b/>
                <w:color w:val="000000"/>
                <w:sz w:val="21"/>
              </w:rPr>
              <w:t>内  容</w:t>
            </w:r>
          </w:p>
        </w:tc>
      </w:tr>
      <w:tr>
        <w:tc>
          <w:tcPr>
            <w:tcW w:type="dxa" w:w="670"/>
            <w:tcBorders>
              <w:top w:val="none" w:color="000000" w:sz="4"/>
              <w:left w:val="single" w:color="000000" w:sz="4"/>
              <w:bottom w:val="single" w:color="000000" w:sz="4"/>
              <w:right w:val="single" w:color="000000" w:sz="4"/>
            </w:tcBorders>
          </w:tcPr>
          <w:p>
            <w:pPr>
              <w:jc w:val="both"/>
            </w:pPr>
            <w:r>
              <w:rPr>
                <w:b/>
                <w:color w:val="000000"/>
                <w:sz w:val="21"/>
              </w:rPr>
              <w:t>1.</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预算金额</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人民币  小写：</w:t>
            </w:r>
            <w:r>
              <w:rPr>
                <w:color w:val="000000"/>
                <w:sz w:val="21"/>
                <w:u w:val="single"/>
              </w:rPr>
              <w:t xml:space="preserve">            </w:t>
            </w:r>
            <w:r>
              <w:rPr>
                <w:color w:val="000000"/>
                <w:sz w:val="21"/>
              </w:rPr>
              <w:t>元；</w:t>
            </w:r>
          </w:p>
          <w:p>
            <w:pPr>
              <w:jc w:val="both"/>
            </w:pPr>
            <w:r>
              <w:rPr>
                <w:color w:val="000000"/>
                <w:sz w:val="21"/>
              </w:rPr>
              <w:t>大写：</w:t>
            </w:r>
            <w:r>
              <w:rPr>
                <w:color w:val="000000"/>
                <w:sz w:val="21"/>
                <w:u w:val="single"/>
              </w:rPr>
              <w:t xml:space="preserve">                         </w:t>
            </w:r>
          </w:p>
        </w:tc>
      </w:tr>
      <w:tr>
        <w:tc>
          <w:tcPr>
            <w:tcW w:type="dxa" w:w="670"/>
            <w:vMerge w:val="restart"/>
            <w:tcBorders>
              <w:top w:val="none" w:color="000000" w:sz="4"/>
              <w:left w:val="single" w:color="000000" w:sz="4"/>
              <w:bottom w:val="single" w:color="000000" w:sz="4"/>
              <w:right w:val="single" w:color="000000" w:sz="4"/>
            </w:tcBorders>
          </w:tcPr>
          <w:p>
            <w:pPr>
              <w:jc w:val="both"/>
            </w:pPr>
            <w:r>
              <w:rPr>
                <w:b/>
                <w:color w:val="000000"/>
                <w:sz w:val="21"/>
              </w:rPr>
              <w:t>2.</w:t>
            </w:r>
          </w:p>
        </w:tc>
        <w:tc>
          <w:tcPr>
            <w:tcW w:type="dxa" w:w="1438"/>
            <w:vMerge w:val="restart"/>
            <w:tcBorders>
              <w:top w:val="none" w:color="000000" w:sz="4"/>
              <w:left w:val="none" w:color="000000" w:sz="4"/>
              <w:bottom w:val="single" w:color="000000" w:sz="4"/>
              <w:right w:val="single" w:color="000000" w:sz="4"/>
            </w:tcBorders>
          </w:tcPr>
          <w:p>
            <w:pPr>
              <w:jc w:val="center"/>
            </w:pPr>
            <w:r>
              <w:rPr>
                <w:b/>
                <w:color w:val="000000"/>
                <w:sz w:val="21"/>
              </w:rPr>
              <w:t>分项金额</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飞灰固化块二噁英检测：</w:t>
            </w:r>
            <w:r>
              <w:rPr>
                <w:color w:val="000000"/>
                <w:sz w:val="21"/>
                <w:u w:val="single"/>
              </w:rPr>
              <w:t xml:space="preserve">          </w:t>
            </w:r>
            <w:r>
              <w:rPr>
                <w:color w:val="000000"/>
                <w:sz w:val="21"/>
              </w:rPr>
              <w:t>元/样</w:t>
            </w:r>
          </w:p>
        </w:tc>
      </w:tr>
      <w:tr>
        <w:tc>
          <w:tcPr>
            <w:tcW w:type="dxa" w:w="670"/>
            <w:vMerge/>
            <w:tcBorders>
              <w:top w:val="none" w:color="000000" w:sz="4"/>
              <w:left w:val="single" w:color="000000" w:sz="4"/>
              <w:bottom w:val="single" w:color="000000" w:sz="4"/>
              <w:right w:val="single" w:color="000000" w:sz="4"/>
            </w:tcBorders>
          </w:tcPr>
          <w:p/>
        </w:tc>
        <w:tc>
          <w:tcPr>
            <w:tcW w:type="dxa" w:w="1438"/>
            <w:vMerge/>
            <w:tcBorders>
              <w:top w:val="none" w:color="000000" w:sz="4"/>
              <w:left w:val="none" w:color="000000" w:sz="4"/>
              <w:bottom w:val="single" w:color="000000" w:sz="4"/>
              <w:right w:val="single" w:color="000000" w:sz="4"/>
            </w:tcBorders>
          </w:tcPr>
          <w:p/>
        </w:tc>
        <w:tc>
          <w:tcPr>
            <w:tcW w:type="dxa" w:w="6198"/>
            <w:tcBorders>
              <w:top w:val="none" w:color="000000" w:sz="4"/>
              <w:left w:val="none" w:color="000000" w:sz="4"/>
              <w:bottom w:val="single" w:color="000000" w:sz="4"/>
              <w:right w:val="single" w:color="000000" w:sz="4"/>
            </w:tcBorders>
          </w:tcPr>
          <w:p>
            <w:pPr>
              <w:jc w:val="both"/>
            </w:pPr>
            <w:r>
              <w:rPr>
                <w:color w:val="000000"/>
                <w:sz w:val="21"/>
              </w:rPr>
              <w:t>飞灰固化块浸出液毒性检测：</w:t>
            </w:r>
            <w:r>
              <w:rPr>
                <w:color w:val="000000"/>
                <w:sz w:val="21"/>
                <w:u w:val="single"/>
              </w:rPr>
              <w:t xml:space="preserve">          </w:t>
            </w:r>
            <w:r>
              <w:rPr>
                <w:color w:val="000000"/>
                <w:sz w:val="21"/>
              </w:rPr>
              <w:t>元/样</w:t>
            </w:r>
          </w:p>
        </w:tc>
      </w:tr>
      <w:tr>
        <w:tc>
          <w:tcPr>
            <w:tcW w:type="dxa" w:w="670"/>
            <w:vMerge/>
            <w:tcBorders>
              <w:top w:val="none" w:color="000000" w:sz="4"/>
              <w:left w:val="single" w:color="000000" w:sz="4"/>
              <w:bottom w:val="single" w:color="000000" w:sz="4"/>
              <w:right w:val="single" w:color="000000" w:sz="4"/>
            </w:tcBorders>
          </w:tcPr>
          <w:p/>
        </w:tc>
        <w:tc>
          <w:tcPr>
            <w:tcW w:type="dxa" w:w="1438"/>
            <w:vMerge/>
            <w:tcBorders>
              <w:top w:val="none" w:color="000000" w:sz="4"/>
              <w:left w:val="none" w:color="000000" w:sz="4"/>
              <w:bottom w:val="single" w:color="000000" w:sz="4"/>
              <w:right w:val="single" w:color="000000" w:sz="4"/>
            </w:tcBorders>
          </w:tcPr>
          <w:p/>
        </w:tc>
        <w:tc>
          <w:tcPr>
            <w:tcW w:type="dxa" w:w="6198"/>
            <w:tcBorders>
              <w:top w:val="none" w:color="000000" w:sz="4"/>
              <w:left w:val="none" w:color="000000" w:sz="4"/>
              <w:bottom w:val="single" w:color="000000" w:sz="4"/>
              <w:right w:val="single" w:color="000000" w:sz="4"/>
            </w:tcBorders>
          </w:tcPr>
          <w:p>
            <w:pPr>
              <w:jc w:val="both"/>
            </w:pPr>
            <w:r>
              <w:rPr>
                <w:color w:val="000000"/>
                <w:sz w:val="21"/>
              </w:rPr>
              <w:t>园区地表水检测：</w:t>
            </w:r>
            <w:r>
              <w:rPr>
                <w:color w:val="000000"/>
                <w:sz w:val="21"/>
                <w:u w:val="single"/>
              </w:rPr>
              <w:t xml:space="preserve">          </w:t>
            </w:r>
            <w:r>
              <w:rPr>
                <w:color w:val="000000"/>
                <w:sz w:val="21"/>
              </w:rPr>
              <w:t>元/样</w:t>
            </w:r>
          </w:p>
        </w:tc>
      </w:tr>
      <w:tr>
        <w:tc>
          <w:tcPr>
            <w:tcW w:type="dxa" w:w="670"/>
            <w:vMerge/>
            <w:tcBorders>
              <w:top w:val="none" w:color="000000" w:sz="4"/>
              <w:left w:val="single" w:color="000000" w:sz="4"/>
              <w:bottom w:val="single" w:color="000000" w:sz="4"/>
              <w:right w:val="single" w:color="000000" w:sz="4"/>
            </w:tcBorders>
          </w:tcPr>
          <w:p/>
        </w:tc>
        <w:tc>
          <w:tcPr>
            <w:tcW w:type="dxa" w:w="1438"/>
            <w:vMerge/>
            <w:tcBorders>
              <w:top w:val="none" w:color="000000" w:sz="4"/>
              <w:left w:val="none" w:color="000000" w:sz="4"/>
              <w:bottom w:val="single" w:color="000000" w:sz="4"/>
              <w:right w:val="single" w:color="000000" w:sz="4"/>
            </w:tcBorders>
          </w:tcPr>
          <w:p/>
        </w:tc>
        <w:tc>
          <w:tcPr>
            <w:tcW w:type="dxa" w:w="6198"/>
            <w:tcBorders>
              <w:top w:val="none" w:color="000000" w:sz="4"/>
              <w:left w:val="none" w:color="000000" w:sz="4"/>
              <w:bottom w:val="single" w:color="000000" w:sz="4"/>
              <w:right w:val="single" w:color="000000" w:sz="4"/>
            </w:tcBorders>
          </w:tcPr>
          <w:p>
            <w:pPr>
              <w:jc w:val="both"/>
            </w:pPr>
            <w:r>
              <w:rPr>
                <w:color w:val="000000"/>
                <w:sz w:val="21"/>
              </w:rPr>
              <w:t>填埋场地下水检测：</w:t>
            </w:r>
            <w:r>
              <w:rPr>
                <w:color w:val="000000"/>
                <w:sz w:val="21"/>
                <w:u w:val="single"/>
              </w:rPr>
              <w:t xml:space="preserve">          </w:t>
            </w:r>
            <w:r>
              <w:rPr>
                <w:color w:val="000000"/>
                <w:sz w:val="21"/>
              </w:rPr>
              <w:t>元/样</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3.</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合同总额内容</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合同总额包括</w:t>
            </w:r>
            <w:r>
              <w:rPr>
                <w:color w:val="000000"/>
                <w:sz w:val="21"/>
              </w:rPr>
              <w:t>取样费、样品检测单价、报告费、快递费、人员费用、各种税费及合同实施过程中的不可预见费用等全部费用。</w:t>
            </w:r>
          </w:p>
          <w:p>
            <w:pPr>
              <w:jc w:val="both"/>
            </w:pPr>
            <w:r>
              <w:rPr>
                <w:color w:val="000000"/>
                <w:sz w:val="21"/>
              </w:rPr>
              <w:t>2.</w:t>
            </w:r>
            <w:r>
              <w:rPr>
                <w:color w:val="000000"/>
                <w:sz w:val="21"/>
              </w:rPr>
              <w:t>价格为固定不变价，天数为公历日。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4.</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项目服务地点</w:t>
            </w:r>
          </w:p>
        </w:tc>
        <w:tc>
          <w:tcPr>
            <w:tcW w:type="dxa" w:w="6198"/>
            <w:tcBorders>
              <w:top w:val="none" w:color="000000" w:sz="4"/>
              <w:left w:val="none" w:color="000000" w:sz="4"/>
              <w:bottom w:val="single" w:color="000000" w:sz="4"/>
              <w:right w:val="single" w:color="000000" w:sz="4"/>
            </w:tcBorders>
          </w:tcPr>
          <w:p>
            <w:r>
              <w:rPr>
                <w:color w:val="000000"/>
                <w:sz w:val="21"/>
              </w:rPr>
              <w:t>甲方（用户）指定地点。详细地址为：</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5.</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服务期</w:t>
            </w:r>
          </w:p>
        </w:tc>
        <w:tc>
          <w:tcPr>
            <w:tcW w:type="dxa" w:w="6198"/>
            <w:tcBorders>
              <w:top w:val="none" w:color="000000" w:sz="4"/>
              <w:left w:val="none" w:color="000000" w:sz="4"/>
              <w:bottom w:val="single" w:color="000000" w:sz="4"/>
              <w:right w:val="single" w:color="000000" w:sz="4"/>
            </w:tcBorders>
          </w:tcPr>
          <w:p>
            <w:r>
              <w:rPr>
                <w:color w:val="000000"/>
                <w:sz w:val="21"/>
              </w:rPr>
              <w:t>合同生效后提供___年服务，即从</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日至</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6.</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合同签订方式及情况</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本项目分</w:t>
            </w:r>
            <w:r>
              <w:rPr>
                <w:color w:val="000000"/>
                <w:sz w:val="21"/>
                <w:u w:val="single"/>
              </w:rPr>
              <w:t xml:space="preserve">  </w:t>
            </w:r>
            <w:r>
              <w:rPr>
                <w:color w:val="000000"/>
                <w:sz w:val="21"/>
              </w:rPr>
              <w:t>次签订合同，每次合同服务期为一年。本次情况如下：</w:t>
            </w:r>
          </w:p>
          <w:p>
            <w:pPr>
              <w:jc w:val="both"/>
            </w:pPr>
            <w:r>
              <w:rPr>
                <w:color w:val="000000"/>
                <w:sz w:val="21"/>
              </w:rPr>
              <w:t>（1）本次签订为第</w:t>
            </w:r>
            <w:r>
              <w:rPr>
                <w:color w:val="000000"/>
                <w:sz w:val="21"/>
                <w:u w:val="single"/>
              </w:rPr>
              <w:t xml:space="preserve">   </w:t>
            </w:r>
            <w:r>
              <w:rPr>
                <w:color w:val="000000"/>
                <w:sz w:val="21"/>
              </w:rPr>
              <w:t>次；</w:t>
            </w:r>
          </w:p>
          <w:p>
            <w:pPr>
              <w:jc w:val="both"/>
            </w:pPr>
            <w:r>
              <w:rPr>
                <w:color w:val="000000"/>
                <w:sz w:val="21"/>
              </w:rPr>
              <w:t>（2）本次合同金额为（大写）：</w:t>
            </w:r>
            <w:r>
              <w:rPr>
                <w:color w:val="000000"/>
                <w:sz w:val="21"/>
                <w:u w:val="single"/>
              </w:rPr>
              <w:t xml:space="preserve">      </w:t>
            </w:r>
            <w:r>
              <w:rPr>
                <w:color w:val="000000"/>
                <w:sz w:val="21"/>
              </w:rPr>
              <w:t>元，</w:t>
            </w:r>
            <w:r>
              <w:rPr>
                <w:color w:val="000000"/>
                <w:sz w:val="21"/>
                <w:u w:val="single"/>
              </w:rPr>
              <w:t>（￥        元）；</w:t>
            </w:r>
          </w:p>
          <w:p>
            <w:pPr>
              <w:jc w:val="both"/>
            </w:pPr>
            <w:r>
              <w:rPr>
                <w:color w:val="000000"/>
                <w:sz w:val="21"/>
              </w:rPr>
              <w:t>（3）本次服务期起止时间：</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日至</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7.</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付款方式</w:t>
            </w:r>
          </w:p>
        </w:tc>
        <w:tc>
          <w:tcPr>
            <w:tcW w:type="dxa" w:w="6198"/>
            <w:tcBorders>
              <w:top w:val="none" w:color="000000" w:sz="4"/>
              <w:left w:val="none" w:color="000000" w:sz="4"/>
              <w:bottom w:val="single" w:color="000000" w:sz="4"/>
              <w:right w:val="single" w:color="000000" w:sz="4"/>
            </w:tcBorders>
          </w:tcPr>
          <w:p>
            <w:r>
              <w:rPr>
                <w:color w:val="000000"/>
                <w:sz w:val="21"/>
              </w:rPr>
              <w:t>按季度结算，每季度结束后的10个工作日内进行结算，乙方向甲方开具有效的全额发票。乙方凭以下有效证明文件由甲方支付货款：①合同；②乙方开具的正式全额发票；③请款季度的所有检测报告（加盖成交单位公章）；④成交通知书。</w:t>
            </w:r>
          </w:p>
          <w:p>
            <w:r>
              <w:rPr>
                <w:color w:val="000000"/>
                <w:sz w:val="21"/>
              </w:rPr>
              <w:t>1</w:t>
            </w:r>
            <w:r>
              <w:rPr>
                <w:color w:val="000000"/>
                <w:sz w:val="21"/>
              </w:rPr>
              <w:t>） 因甲方使用的是财政资金，甲方在前款规定的付款时间为向政府采购支付部门提出办理财政支付申请手续的时间（不含政府财政支付部门审核的时间），在规定时间内提出支付申请手续后即视为甲方是按期支付。</w:t>
            </w:r>
          </w:p>
          <w:p>
            <w:r>
              <w:rPr>
                <w:color w:val="000000"/>
                <w:sz w:val="21"/>
              </w:rPr>
              <w:t>2</w:t>
            </w:r>
            <w:r>
              <w:rPr>
                <w:color w:val="000000"/>
                <w:sz w:val="21"/>
              </w:rPr>
              <w:t>）不可预见的付款滞后情况。甲方按照现时国家法规标准开展检测工作，一旦相关检测法规变动将有可能导致标的内容发生变化（例如检测指标数量、次数、标准等）。由于本项目费用由甲方逐年（当年9月）向财政部门申请次年预算费用，若在次年发生上述变动情况，增加乙方的相关检测费用，该部分增加的费用将由甲方在次年开展的预算工作中增加，不足已支付的部分费用将延后支付。</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8.</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资金说明</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本项目甲方三年的预算金额为2985000.00元，但根据区财政局2022年项目预算资金安排，2022年财政实际下达第三方监管项目的控制金额为99.72万元，2023-2024年度的年度合同金额根据当年度财政预算安排及乙方履约情况执行。合同执行时最终以实际完成数量进行结算，且不超过合同期间财政下达的控制金额。若财政预算资金无法按计划审批拨付，甲方有权不与乙方续签合同且不作任何补偿。在服务期内，成交单价不作调整，乙方应充分考虑经营风险并不以此对抗甲方、采购代理机构及采购管理等部门。</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9</w:t>
            </w:r>
          </w:p>
        </w:tc>
        <w:tc>
          <w:tcPr>
            <w:tcW w:type="dxa" w:w="1438"/>
            <w:tcBorders>
              <w:top w:val="none" w:color="000000" w:sz="4"/>
              <w:left w:val="none" w:color="000000" w:sz="4"/>
              <w:bottom w:val="single" w:color="000000" w:sz="4"/>
              <w:right w:val="single" w:color="000000" w:sz="4"/>
            </w:tcBorders>
          </w:tcPr>
          <w:p>
            <w:pPr>
              <w:jc w:val="center"/>
            </w:pPr>
            <w:r>
              <w:rPr>
                <w:b/>
                <w:color w:val="000000"/>
                <w:sz w:val="21"/>
              </w:rPr>
              <w:t>项目实施的设备和人员保证</w:t>
            </w:r>
          </w:p>
        </w:tc>
        <w:tc>
          <w:tcPr>
            <w:tcW w:type="dxa" w:w="6198"/>
            <w:tcBorders>
              <w:top w:val="none" w:color="000000" w:sz="4"/>
              <w:left w:val="none" w:color="000000" w:sz="4"/>
              <w:bottom w:val="single" w:color="000000" w:sz="4"/>
              <w:right w:val="single" w:color="000000" w:sz="4"/>
            </w:tcBorders>
          </w:tcPr>
          <w:p>
            <w:r>
              <w:rPr>
                <w:color w:val="000000"/>
                <w:sz w:val="21"/>
              </w:rPr>
              <w:t>1.</w:t>
            </w:r>
            <w:r>
              <w:rPr>
                <w:color w:val="000000"/>
                <w:sz w:val="21"/>
              </w:rPr>
              <w:t>乙方须具备与检测任务相适应的技术人员、仪器设备、实验室环境及车辆，有固定的项目实施小组、项目负责人，实施人员应持证上岗。</w:t>
            </w:r>
          </w:p>
          <w:p>
            <w:r>
              <w:rPr>
                <w:color w:val="000000"/>
                <w:sz w:val="21"/>
              </w:rPr>
              <w:t>2.</w:t>
            </w:r>
            <w:r>
              <w:rPr>
                <w:color w:val="000000"/>
                <w:sz w:val="21"/>
              </w:rPr>
              <w:t>经双方确定参与本项目管理、执行、报告编制的项目负责人和相关主要技术人员，未经甲方同意不得调整，否则甲方有权终止合同。</w:t>
            </w:r>
          </w:p>
        </w:tc>
      </w:tr>
    </w:tbl>
    <w:p>
      <w:pPr>
        <w:jc w:val="both"/>
      </w:pPr>
    </w:p>
    <w:p>
      <w:pPr>
        <w:jc w:val="both"/>
      </w:pPr>
      <w:r>
        <w:rPr>
          <w:b/>
          <w:color w:val="000000"/>
          <w:sz w:val="21"/>
        </w:rPr>
        <w:t>四、服务对照执行标准：</w:t>
      </w:r>
    </w:p>
    <w:p>
      <w:pPr>
        <w:ind w:firstLine="424"/>
        <w:jc w:val="both"/>
      </w:pPr>
      <w:r>
        <w:rPr>
          <w:color w:val="000000"/>
          <w:sz w:val="21"/>
        </w:rPr>
        <w:t>1.</w:t>
      </w:r>
      <w:r>
        <w:rPr>
          <w:color w:val="000000"/>
          <w:sz w:val="21"/>
        </w:rPr>
        <w:t>符合中华人民共和国国家和履约地相关安全质量标准、行业技术规范标准；</w:t>
      </w:r>
    </w:p>
    <w:p>
      <w:pPr>
        <w:ind w:firstLine="424"/>
        <w:jc w:val="both"/>
      </w:pPr>
      <w:r>
        <w:rPr>
          <w:color w:val="000000"/>
          <w:sz w:val="21"/>
        </w:rPr>
        <w:t>2.</w:t>
      </w:r>
      <w:r>
        <w:rPr>
          <w:color w:val="000000"/>
          <w:sz w:val="21"/>
        </w:rPr>
        <w:t>符合采购文件和响应承诺中各方共同认可的合理要求；</w:t>
      </w:r>
    </w:p>
    <w:p>
      <w:pPr>
        <w:ind w:firstLine="420"/>
        <w:jc w:val="both"/>
      </w:pPr>
      <w:r>
        <w:rPr>
          <w:color w:val="000000"/>
          <w:sz w:val="21"/>
        </w:rPr>
        <w:t>上述各类标准与法规必须是有关官方机构最新发布的现行标准版本。</w:t>
      </w:r>
    </w:p>
    <w:p>
      <w:pPr>
        <w:jc w:val="both"/>
      </w:pPr>
      <w:r>
        <w:rPr>
          <w:b/>
          <w:color w:val="000000"/>
          <w:sz w:val="21"/>
        </w:rPr>
        <w:t>五、投诉跟踪服务要求：</w:t>
      </w:r>
    </w:p>
    <w:p>
      <w:pPr>
        <w:ind w:firstLine="424"/>
        <w:jc w:val="both"/>
      </w:pPr>
      <w:r>
        <w:rPr>
          <w:color w:val="000000"/>
          <w:sz w:val="21"/>
        </w:rPr>
        <w:t>1.</w:t>
      </w:r>
      <w:r>
        <w:rPr>
          <w:color w:val="000000"/>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24"/>
        <w:jc w:val="both"/>
      </w:pPr>
      <w:r>
        <w:rPr>
          <w:color w:val="000000"/>
          <w:sz w:val="21"/>
        </w:rPr>
        <w:t>2.</w:t>
      </w:r>
      <w:r>
        <w:rPr>
          <w:color w:val="000000"/>
          <w:sz w:val="21"/>
        </w:rPr>
        <w:t>服务期内，甲方有权按本项目的管理要求对乙方进行不定期抽查检查，若对不合格的管理服务提出警告后，仍未得到有效解决时，甲方有权终止管理合同。</w:t>
      </w:r>
    </w:p>
    <w:p>
      <w:pPr>
        <w:ind w:firstLine="424"/>
        <w:jc w:val="both"/>
      </w:pPr>
      <w:r>
        <w:rPr>
          <w:color w:val="000000"/>
          <w:sz w:val="21"/>
        </w:rPr>
        <w:t>3.</w:t>
      </w:r>
      <w:r>
        <w:rPr>
          <w:color w:val="000000"/>
          <w:sz w:val="21"/>
        </w:rPr>
        <w:t>乙方服务机构名称及地址：</w:t>
      </w:r>
    </w:p>
    <w:p>
      <w:pPr>
        <w:ind w:firstLine="420"/>
        <w:jc w:val="both"/>
      </w:pPr>
      <w:r>
        <w:rPr>
          <w:color w:val="000000"/>
          <w:sz w:val="21"/>
        </w:rPr>
        <w:t>联系人1：          ，联系电话：            ，手机：          ；</w:t>
      </w:r>
    </w:p>
    <w:p>
      <w:pPr>
        <w:ind w:firstLine="420"/>
        <w:jc w:val="both"/>
      </w:pPr>
      <w:r>
        <w:rPr>
          <w:color w:val="000000"/>
          <w:sz w:val="21"/>
        </w:rPr>
        <w:t>联系人2：          ，联系电话：            ，手机：          ；</w:t>
      </w:r>
    </w:p>
    <w:p>
      <w:pPr>
        <w:ind w:firstLine="420"/>
        <w:jc w:val="both"/>
      </w:pPr>
      <w:r>
        <w:rPr>
          <w:color w:val="000000"/>
          <w:sz w:val="21"/>
        </w:rPr>
        <w:t>服务专线电话：</w:t>
      </w:r>
    </w:p>
    <w:p>
      <w:pPr>
        <w:ind w:firstLine="424"/>
        <w:jc w:val="both"/>
      </w:pPr>
      <w:r>
        <w:rPr>
          <w:color w:val="000000"/>
          <w:sz w:val="21"/>
        </w:rPr>
        <w:t>4.</w:t>
      </w:r>
      <w:r>
        <w:rPr>
          <w:color w:val="000000"/>
          <w:sz w:val="21"/>
        </w:rPr>
        <w:t>其他服务要求：（补充内容不得对采购文件和投标/响应文件作实质性修改）</w:t>
      </w:r>
    </w:p>
    <w:p>
      <w:pPr>
        <w:jc w:val="both"/>
      </w:pPr>
      <w:r>
        <w:rPr>
          <w:color w:val="000000"/>
          <w:sz w:val="21"/>
        </w:rPr>
        <w:t>①乙方需拥有完善的售后服务体系，能为甲方提供专业检测技术咨询、服务支持，及时响应甲方的需求，并向甲方提供专业、有效的检测方案。②在合同期内，如乙方不再具备相应合同项目的资质或者停止经营，必须提前</w:t>
      </w:r>
      <w:r>
        <w:rPr>
          <w:color w:val="000000"/>
          <w:sz w:val="21"/>
        </w:rPr>
        <w:t>3</w:t>
      </w:r>
      <w:r>
        <w:rPr>
          <w:color w:val="000000"/>
          <w:sz w:val="21"/>
        </w:rPr>
        <w:t>个月通知甲方。</w:t>
      </w:r>
    </w:p>
    <w:p>
      <w:pPr>
        <w:jc w:val="both"/>
      </w:pPr>
      <w:r>
        <w:rPr>
          <w:b/>
          <w:color w:val="000000"/>
          <w:sz w:val="21"/>
        </w:rPr>
        <w:t>六、验收要求：</w:t>
      </w:r>
    </w:p>
    <w:p>
      <w:pPr>
        <w:ind w:firstLine="420"/>
        <w:jc w:val="both"/>
      </w:pPr>
      <w:r>
        <w:rPr>
          <w:color w:val="000000"/>
          <w:sz w:val="21"/>
        </w:rPr>
        <w:t>1</w:t>
      </w:r>
      <w:r>
        <w:rPr>
          <w:color w:val="000000"/>
          <w:sz w:val="21"/>
        </w:rPr>
        <w:t>）乙方应具备完整的质量保证体系和严格的规章制度。</w:t>
      </w:r>
    </w:p>
    <w:p>
      <w:pPr>
        <w:ind w:firstLine="420"/>
        <w:jc w:val="both"/>
      </w:pPr>
      <w:r>
        <w:rPr>
          <w:color w:val="000000"/>
          <w:sz w:val="21"/>
        </w:rPr>
        <w:t>2</w:t>
      </w:r>
      <w:r>
        <w:rPr>
          <w:color w:val="000000"/>
          <w:sz w:val="21"/>
        </w:rPr>
        <w:t>）取样、检测方法符合国家标准、规范。飞灰固化块浸出毒性方法：《固体废物浸出毒性浸出方法醋酸缓冲溶液法》（HJ/T300-2007）、《危险废物鉴别标准浸出毒性鉴别》（GB5085.3-2007）。如国家相关标准、规范更新，按新颁布的执行。</w:t>
      </w:r>
    </w:p>
    <w:p>
      <w:pPr>
        <w:ind w:firstLine="420"/>
        <w:jc w:val="both"/>
      </w:pPr>
      <w:r>
        <w:rPr>
          <w:color w:val="000000"/>
          <w:sz w:val="21"/>
        </w:rPr>
        <w:t>3</w:t>
      </w:r>
      <w:r>
        <w:rPr>
          <w:color w:val="000000"/>
          <w:sz w:val="21"/>
        </w:rPr>
        <w:t>）乙方对检测数据的准确性、真实性负责，出具的检测报告具有公正性、科学性、权威性。</w:t>
      </w:r>
    </w:p>
    <w:p>
      <w:pPr>
        <w:ind w:firstLine="420"/>
        <w:jc w:val="both"/>
      </w:pPr>
      <w:r>
        <w:rPr>
          <w:color w:val="000000"/>
          <w:sz w:val="21"/>
        </w:rPr>
        <w:t>4</w:t>
      </w:r>
      <w:r>
        <w:rPr>
          <w:color w:val="000000"/>
          <w:sz w:val="21"/>
        </w:rPr>
        <w:t>）取样结束后，水体检测项目7个工作日内、固化块检测项目10个工作日内向甲方提交正式检测报告。</w:t>
      </w:r>
    </w:p>
    <w:p>
      <w:pPr>
        <w:jc w:val="both"/>
      </w:pPr>
      <w:r>
        <w:rPr>
          <w:b/>
          <w:color w:val="000000"/>
          <w:sz w:val="21"/>
        </w:rPr>
        <w:t>七、保密要求：</w:t>
      </w:r>
    </w:p>
    <w:p>
      <w:pPr>
        <w:ind w:firstLine="508"/>
        <w:jc w:val="both"/>
      </w:pPr>
      <w:r>
        <w:rPr>
          <w:color w:val="000000"/>
          <w:sz w:val="21"/>
        </w:rPr>
        <w:t>双方均应保护对方的知识产权，未经对方同意，任何一方均不得将对方的资料及文件擅自修改、复制或向第三人转让或用于本合同项目外的项目。如发生以上情况，泄密方承担一切由此引起的后果并承担赔偿责任。</w:t>
      </w:r>
    </w:p>
    <w:p>
      <w:pPr>
        <w:jc w:val="both"/>
      </w:pPr>
      <w:r>
        <w:rPr>
          <w:b/>
          <w:color w:val="000000"/>
          <w:sz w:val="21"/>
        </w:rPr>
        <w:t>八、违约责任：</w:t>
      </w:r>
    </w:p>
    <w:p>
      <w:pPr>
        <w:ind w:firstLine="424"/>
        <w:jc w:val="both"/>
      </w:pPr>
      <w:r>
        <w:rPr>
          <w:color w:val="000000"/>
          <w:sz w:val="21"/>
        </w:rPr>
        <w:t>1.</w:t>
      </w:r>
      <w:r>
        <w:rPr>
          <w:color w:val="000000"/>
          <w:sz w:val="21"/>
        </w:rPr>
        <w:t>乙方未按要求履行合同义务时，须从违约之日起每日按合同总额的</w:t>
      </w:r>
      <w:r>
        <w:rPr>
          <w:color w:val="000000"/>
          <w:sz w:val="21"/>
          <w:u w:val="single"/>
        </w:rPr>
        <w:t>3‰</w:t>
      </w:r>
      <w:r>
        <w:rPr>
          <w:color w:val="000000"/>
          <w:sz w:val="21"/>
        </w:rPr>
        <w:t>比例向甲方支付违约金；逾期</w:t>
      </w:r>
      <w:r>
        <w:rPr>
          <w:color w:val="000000"/>
          <w:sz w:val="21"/>
          <w:u w:val="single"/>
        </w:rPr>
        <w:t>15</w:t>
      </w:r>
      <w:r>
        <w:rPr>
          <w:color w:val="000000"/>
          <w:sz w:val="21"/>
        </w:rPr>
        <w:t>日以上时，甲方有权终止合同，由此造成甲方的经济损失由乙方承担。违约金不足以弥补损失的，乙方应按全额赔偿。</w:t>
      </w:r>
    </w:p>
    <w:p>
      <w:pPr>
        <w:ind w:firstLine="424"/>
        <w:jc w:val="both"/>
      </w:pPr>
      <w:r>
        <w:rPr>
          <w:color w:val="000000"/>
          <w:sz w:val="21"/>
        </w:rPr>
        <w:t>2.</w:t>
      </w:r>
      <w:r>
        <w:rPr>
          <w:color w:val="000000"/>
          <w:sz w:val="21"/>
        </w:rPr>
        <w:t>甲方未按要求履行合同义务时，或无故拖延验收、付款时，甲方须向乙方支付滞纳金，标准为每日按逾期应付款总额的</w:t>
      </w:r>
      <w:r>
        <w:rPr>
          <w:color w:val="000000"/>
          <w:sz w:val="21"/>
          <w:u w:val="single"/>
        </w:rPr>
        <w:t>3‰</w:t>
      </w:r>
      <w:r>
        <w:rPr>
          <w:color w:val="000000"/>
          <w:sz w:val="21"/>
        </w:rPr>
        <w:t>累计。</w:t>
      </w:r>
    </w:p>
    <w:p>
      <w:pPr>
        <w:ind w:firstLine="447"/>
      </w:pPr>
      <w:r>
        <w:rPr>
          <w:color w:val="000000"/>
          <w:sz w:val="21"/>
        </w:rPr>
        <w:t xml:space="preserve">3. </w:t>
      </w:r>
      <w:r>
        <w:rPr>
          <w:color w:val="000000"/>
          <w:sz w:val="21"/>
        </w:rPr>
        <w:t>乙方未按合同要求完成检测任务或逾期提交检测报告的，甲方可按次数每次扣减合同价的</w:t>
      </w:r>
      <w:r>
        <w:rPr>
          <w:color w:val="000000"/>
          <w:sz w:val="21"/>
        </w:rPr>
        <w:t>2%</w:t>
      </w:r>
      <w:r>
        <w:rPr>
          <w:color w:val="000000"/>
          <w:sz w:val="21"/>
        </w:rPr>
        <w:t>。</w:t>
      </w:r>
    </w:p>
    <w:p>
      <w:pPr>
        <w:ind w:firstLine="447"/>
      </w:pPr>
      <w:r>
        <w:rPr>
          <w:color w:val="000000"/>
          <w:sz w:val="21"/>
        </w:rPr>
        <w:t xml:space="preserve">4. </w:t>
      </w:r>
      <w:r>
        <w:rPr>
          <w:color w:val="000000"/>
          <w:sz w:val="21"/>
        </w:rPr>
        <w:t>检测数据为甲方保密信息，乙方不得直接或间接地以任何方式提供或披露给任何</w:t>
      </w:r>
      <w:r>
        <w:rPr>
          <w:color w:val="000000"/>
          <w:sz w:val="21"/>
        </w:rPr>
        <w:t>“</w:t>
      </w:r>
      <w:r>
        <w:rPr>
          <w:color w:val="000000"/>
          <w:sz w:val="21"/>
        </w:rPr>
        <w:t>第三方</w:t>
      </w:r>
      <w:r>
        <w:rPr>
          <w:color w:val="000000"/>
          <w:sz w:val="21"/>
        </w:rPr>
        <w:t>”</w:t>
      </w:r>
      <w:r>
        <w:rPr>
          <w:color w:val="000000"/>
          <w:sz w:val="21"/>
        </w:rPr>
        <w:t>。在本条中，</w:t>
      </w:r>
      <w:r>
        <w:rPr>
          <w:color w:val="000000"/>
          <w:sz w:val="21"/>
        </w:rPr>
        <w:t>“</w:t>
      </w:r>
      <w:r>
        <w:rPr>
          <w:color w:val="000000"/>
          <w:sz w:val="21"/>
        </w:rPr>
        <w:t>第三方</w:t>
      </w:r>
      <w:r>
        <w:rPr>
          <w:color w:val="000000"/>
          <w:sz w:val="21"/>
        </w:rPr>
        <w:t>”</w:t>
      </w:r>
      <w:r>
        <w:rPr>
          <w:color w:val="000000"/>
          <w:sz w:val="21"/>
        </w:rPr>
        <w:t>是指任何自然人、企业或其分支机构、代理、组织或其他实体。乙方若违反保密责任，甲方有权通过法律手段维护相关权益。</w:t>
      </w:r>
    </w:p>
    <w:p>
      <w:pPr>
        <w:ind w:firstLine="447"/>
      </w:pPr>
      <w:r>
        <w:rPr>
          <w:color w:val="000000"/>
          <w:sz w:val="21"/>
        </w:rPr>
        <w:t>5.</w:t>
      </w:r>
      <w:r>
        <w:rPr>
          <w:color w:val="000000"/>
          <w:sz w:val="21"/>
        </w:rPr>
        <w:t>在任何情形下，本条所规定的保密义务应永久持续有效。</w:t>
      </w:r>
    </w:p>
    <w:p>
      <w:pPr>
        <w:jc w:val="both"/>
      </w:pPr>
      <w:r>
        <w:rPr>
          <w:b/>
          <w:color w:val="000000"/>
          <w:sz w:val="21"/>
        </w:rPr>
        <w:t>九、提出异议的时间和方法：</w:t>
      </w:r>
    </w:p>
    <w:p>
      <w:pPr>
        <w:ind w:firstLine="447"/>
      </w:pPr>
      <w:r>
        <w:rPr>
          <w:color w:val="000000"/>
          <w:sz w:val="21"/>
        </w:rPr>
        <w:t xml:space="preserve">1. </w:t>
      </w:r>
      <w:r>
        <w:rPr>
          <w:color w:val="000000"/>
          <w:sz w:val="21"/>
        </w:rPr>
        <w:t>甲方有异议时，应</w:t>
      </w:r>
      <w:r>
        <w:rPr>
          <w:color w:val="000000"/>
          <w:sz w:val="21"/>
        </w:rPr>
        <w:t>15</w:t>
      </w:r>
      <w:r>
        <w:rPr>
          <w:color w:val="000000"/>
          <w:sz w:val="21"/>
        </w:rPr>
        <w:t>天内向乙方提出书面异议。</w:t>
      </w:r>
    </w:p>
    <w:p>
      <w:pPr>
        <w:ind w:firstLine="447"/>
      </w:pPr>
      <w:r>
        <w:rPr>
          <w:color w:val="000000"/>
          <w:sz w:val="21"/>
        </w:rPr>
        <w:t xml:space="preserve">2. </w:t>
      </w:r>
      <w:r>
        <w:rPr>
          <w:color w:val="000000"/>
          <w:sz w:val="21"/>
        </w:rPr>
        <w:t>乙方在接到甲方书面异议后，应在</w:t>
      </w:r>
      <w:r>
        <w:rPr>
          <w:color w:val="000000"/>
          <w:sz w:val="21"/>
        </w:rPr>
        <w:t>3</w:t>
      </w:r>
      <w:r>
        <w:rPr>
          <w:color w:val="000000"/>
          <w:sz w:val="21"/>
        </w:rPr>
        <w:t>天内负责处理并函复甲方处理情况，否则，即视为默认甲方提出的异议和处理意见。</w:t>
      </w:r>
    </w:p>
    <w:p>
      <w:pPr>
        <w:ind w:firstLine="447"/>
      </w:pPr>
      <w:r>
        <w:rPr>
          <w:color w:val="000000"/>
          <w:sz w:val="21"/>
        </w:rPr>
        <w:t xml:space="preserve">3. </w:t>
      </w:r>
      <w:r>
        <w:rPr>
          <w:color w:val="000000"/>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1"/>
        </w:rPr>
        <w:t>十、争议的解决：</w:t>
      </w:r>
    </w:p>
    <w:p>
      <w:pPr>
        <w:ind w:firstLine="424"/>
        <w:jc w:val="both"/>
      </w:pPr>
      <w:r>
        <w:rPr>
          <w:color w:val="000000"/>
          <w:sz w:val="21"/>
        </w:rPr>
        <w:t>1.</w:t>
      </w:r>
      <w:r>
        <w:rPr>
          <w:color w:val="000000"/>
          <w:sz w:val="21"/>
        </w:rPr>
        <w:t>合同履行过程中发生的任何争议，如双方未能通过友好协商解决，应向佛山市有管辖权的人民法院提起诉讼。</w:t>
      </w:r>
    </w:p>
    <w:p>
      <w:pPr>
        <w:ind w:firstLine="424"/>
        <w:jc w:val="both"/>
      </w:pPr>
      <w:r>
        <w:rPr>
          <w:color w:val="000000"/>
          <w:sz w:val="21"/>
        </w:rPr>
        <w:t>2.</w:t>
      </w:r>
      <w:r>
        <w:rPr>
          <w:color w:val="000000"/>
          <w:sz w:val="21"/>
        </w:rPr>
        <w:t>法院审理期间，除提交法院审理的事项外，其它无争议的事项和条款仍应继续履行。</w:t>
      </w:r>
    </w:p>
    <w:p>
      <w:pPr>
        <w:jc w:val="both"/>
      </w:pPr>
      <w:r>
        <w:rPr>
          <w:b/>
          <w:color w:val="000000"/>
          <w:sz w:val="21"/>
        </w:rPr>
        <w:t>十一、不可抗力：</w:t>
      </w:r>
    </w:p>
    <w:p>
      <w:pPr>
        <w:ind w:firstLine="420"/>
        <w:jc w:val="both"/>
      </w:pPr>
      <w:r>
        <w:rPr>
          <w:color w:val="000000"/>
          <w:sz w:val="21"/>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1"/>
        </w:rPr>
        <w:t>十二、税费：</w:t>
      </w:r>
    </w:p>
    <w:p>
      <w:pPr>
        <w:ind w:firstLine="424"/>
        <w:jc w:val="both"/>
      </w:pPr>
      <w:r>
        <w:rPr>
          <w:color w:val="000000"/>
          <w:sz w:val="21"/>
        </w:rPr>
        <w:t>1.</w:t>
      </w:r>
      <w:r>
        <w:rPr>
          <w:color w:val="000000"/>
          <w:sz w:val="21"/>
        </w:rPr>
        <w:t>本合同实施过程中所发生的一切税费及不可预见费均由乙方承担。</w:t>
      </w:r>
    </w:p>
    <w:p>
      <w:pPr>
        <w:ind w:firstLine="424"/>
        <w:jc w:val="both"/>
      </w:pPr>
      <w:r>
        <w:rPr>
          <w:color w:val="000000"/>
          <w:sz w:val="21"/>
        </w:rPr>
        <w:t>2.</w:t>
      </w:r>
      <w:r>
        <w:rPr>
          <w:color w:val="000000"/>
          <w:sz w:val="21"/>
        </w:rPr>
        <w:t>乙方依照税务规章优先在合同履约地开具发票及纳税，咨询：0757-12366。</w:t>
      </w:r>
    </w:p>
    <w:p>
      <w:pPr>
        <w:jc w:val="both"/>
      </w:pPr>
      <w:r>
        <w:rPr>
          <w:b/>
          <w:color w:val="000000"/>
          <w:sz w:val="21"/>
        </w:rPr>
        <w:t>十三、合同生效与合同备案：</w:t>
      </w:r>
    </w:p>
    <w:p>
      <w:pPr>
        <w:ind w:firstLine="424"/>
        <w:jc w:val="both"/>
      </w:pPr>
      <w:r>
        <w:rPr>
          <w:color w:val="000000"/>
          <w:sz w:val="21"/>
        </w:rPr>
        <w:t>1.</w:t>
      </w:r>
      <w:r>
        <w:rPr>
          <w:color w:val="000000"/>
          <w:sz w:val="21"/>
        </w:rPr>
        <w:t>本合同在甲乙双方法人代表或其授权代表签字盖章后生效。</w:t>
      </w:r>
    </w:p>
    <w:p>
      <w:pPr>
        <w:ind w:firstLine="424"/>
        <w:jc w:val="both"/>
      </w:pPr>
      <w:r>
        <w:rPr>
          <w:color w:val="000000"/>
          <w:sz w:val="21"/>
        </w:rPr>
        <w:t>2.</w:t>
      </w:r>
      <w:r>
        <w:rPr>
          <w:color w:val="000000"/>
          <w:sz w:val="21"/>
        </w:rPr>
        <w:t>自采购合同签订之日起7个工作日内，由甲方按照有关规定将采购合同副本报同级人民政府财政部门（政府采购管理部门）备案。</w:t>
      </w:r>
    </w:p>
    <w:p>
      <w:pPr>
        <w:jc w:val="both"/>
      </w:pPr>
      <w:r>
        <w:rPr>
          <w:b/>
          <w:color w:val="000000"/>
          <w:sz w:val="21"/>
        </w:rPr>
        <w:t>十四、乙方应提供的资料内容：</w:t>
      </w:r>
    </w:p>
    <w:p>
      <w:pPr>
        <w:jc w:val="both"/>
      </w:pPr>
      <w:r>
        <w:rPr>
          <w:color w:val="000000"/>
          <w:sz w:val="21"/>
          <w:u w:val="single"/>
        </w:rPr>
        <w:t xml:space="preserve">                                                           </w:t>
      </w:r>
      <w:r>
        <w:rPr>
          <w:color w:val="000000"/>
          <w:sz w:val="21"/>
        </w:rPr>
        <w:t>。</w:t>
      </w:r>
    </w:p>
    <w:p>
      <w:pPr>
        <w:jc w:val="both"/>
      </w:pPr>
      <w:r>
        <w:rPr>
          <w:b/>
          <w:color w:val="000000"/>
          <w:sz w:val="21"/>
        </w:rPr>
        <w:t>十五、关于政府采购合同融资</w:t>
      </w:r>
    </w:p>
    <w:p>
      <w:pPr>
        <w:ind w:firstLine="424"/>
        <w:jc w:val="both"/>
      </w:pPr>
      <w:r>
        <w:rPr>
          <w:color w:val="000000"/>
          <w:sz w:val="21"/>
        </w:rPr>
        <w:t>1.</w:t>
      </w:r>
      <w:r>
        <w:rPr>
          <w:color w:val="000000"/>
          <w:sz w:val="21"/>
        </w:rPr>
        <w:t>乙方是否已申请政府采购合同融资：</w:t>
      </w:r>
      <w:r>
        <w:rPr>
          <w:color w:val="000000"/>
          <w:sz w:val="21"/>
          <w:u w:val="single"/>
        </w:rPr>
        <w:t xml:space="preserve"> 是  / 否 </w:t>
      </w:r>
      <w:r>
        <w:rPr>
          <w:color w:val="000000"/>
          <w:sz w:val="21"/>
        </w:rPr>
        <w:t>；</w:t>
      </w:r>
    </w:p>
    <w:p>
      <w:pPr>
        <w:ind w:firstLine="424"/>
        <w:jc w:val="both"/>
      </w:pPr>
      <w:r>
        <w:rPr>
          <w:color w:val="000000"/>
          <w:sz w:val="21"/>
        </w:rPr>
        <w:t>2.</w:t>
      </w:r>
      <w:r>
        <w:rPr>
          <w:color w:val="000000"/>
          <w:sz w:val="21"/>
        </w:rPr>
        <w:t>融资银行及联系方式：</w:t>
      </w:r>
      <w:r>
        <w:rPr>
          <w:color w:val="000000"/>
          <w:sz w:val="21"/>
          <w:u w:val="single"/>
        </w:rPr>
        <w:t xml:space="preserve">                                               </w:t>
      </w:r>
      <w:r>
        <w:rPr>
          <w:color w:val="000000"/>
          <w:sz w:val="21"/>
        </w:rPr>
        <w:t>。</w:t>
      </w:r>
    </w:p>
    <w:p>
      <w:pPr>
        <w:ind w:firstLine="424"/>
        <w:jc w:val="both"/>
      </w:pPr>
      <w:r>
        <w:rPr>
          <w:color w:val="000000"/>
          <w:sz w:val="21"/>
        </w:rPr>
        <w:t>3.</w:t>
      </w:r>
      <w:r>
        <w:rPr>
          <w:color w:val="000000"/>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1"/>
        </w:rPr>
        <w:t>。</w:t>
      </w:r>
    </w:p>
    <w:p>
      <w:pPr>
        <w:jc w:val="both"/>
      </w:pPr>
      <w:r>
        <w:rPr>
          <w:b/>
          <w:color w:val="000000"/>
          <w:sz w:val="21"/>
        </w:rPr>
        <w:t>十六、其它：</w:t>
      </w:r>
    </w:p>
    <w:p>
      <w:pPr>
        <w:ind w:firstLine="424"/>
        <w:jc w:val="both"/>
      </w:pPr>
      <w:r>
        <w:rPr>
          <w:color w:val="000000"/>
          <w:sz w:val="21"/>
        </w:rPr>
        <w:t>1.</w:t>
      </w:r>
      <w:r>
        <w:rPr>
          <w:color w:val="000000"/>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ind w:firstLine="424"/>
        <w:jc w:val="both"/>
      </w:pPr>
      <w:r>
        <w:rPr>
          <w:color w:val="000000"/>
          <w:sz w:val="21"/>
        </w:rPr>
        <w:t>2.</w:t>
      </w:r>
      <w:r>
        <w:rPr>
          <w:color w:val="000000"/>
          <w:sz w:val="21"/>
        </w:rPr>
        <w:t>如一方（包括联系人）地址、电话、传真号码有变更，应在变更后3个工作日内书面通知对方联系人或负责人，否则，因此造成的损失由未履行通知义务方承担相应责任。</w:t>
      </w:r>
    </w:p>
    <w:p>
      <w:pPr>
        <w:ind w:firstLine="424"/>
        <w:jc w:val="both"/>
      </w:pPr>
      <w:r>
        <w:rPr>
          <w:color w:val="000000"/>
          <w:sz w:val="21"/>
        </w:rPr>
        <w:t>3.</w:t>
      </w:r>
      <w:r>
        <w:rPr>
          <w:color w:val="000000"/>
          <w:sz w:val="21"/>
        </w:rPr>
        <w:t>未经甲方书面同意，乙方不得擅自向第三方转让其主体性和关键性合同义务。</w:t>
      </w:r>
    </w:p>
    <w:p>
      <w:pPr>
        <w:ind w:firstLine="424"/>
        <w:jc w:val="both"/>
      </w:pPr>
      <w:r>
        <w:rPr>
          <w:color w:val="000000"/>
          <w:sz w:val="21"/>
        </w:rPr>
        <w:t>4.</w:t>
      </w:r>
      <w:r>
        <w:rPr>
          <w:color w:val="000000"/>
          <w:sz w:val="21"/>
        </w:rPr>
        <w:t>本合同一式</w:t>
      </w:r>
      <w:r>
        <w:rPr>
          <w:color w:val="000000"/>
          <w:sz w:val="21"/>
          <w:u w:val="single"/>
        </w:rPr>
        <w:t xml:space="preserve">   </w:t>
      </w:r>
      <w:r>
        <w:rPr>
          <w:color w:val="000000"/>
          <w:sz w:val="21"/>
        </w:rPr>
        <w:t>份，甲方执</w:t>
      </w:r>
      <w:r>
        <w:rPr>
          <w:color w:val="000000"/>
          <w:sz w:val="21"/>
          <w:u w:val="single"/>
        </w:rPr>
        <w:t xml:space="preserve">  </w:t>
      </w:r>
      <w:r>
        <w:rPr>
          <w:color w:val="000000"/>
          <w:sz w:val="21"/>
        </w:rPr>
        <w:t>份，乙方执</w:t>
      </w:r>
      <w:r>
        <w:rPr>
          <w:color w:val="000000"/>
          <w:sz w:val="21"/>
          <w:u w:val="single"/>
        </w:rPr>
        <w:t xml:space="preserve">  </w:t>
      </w:r>
      <w:r>
        <w:rPr>
          <w:color w:val="000000"/>
          <w:sz w:val="21"/>
        </w:rPr>
        <w:t>份。</w:t>
      </w:r>
    </w:p>
    <w:p>
      <w:pPr>
        <w:ind w:firstLine="424"/>
        <w:jc w:val="both"/>
      </w:pPr>
      <w:r>
        <w:rPr>
          <w:color w:val="000000"/>
          <w:sz w:val="21"/>
        </w:rPr>
        <w:t>5.</w:t>
      </w:r>
      <w:r>
        <w:rPr>
          <w:color w:val="000000"/>
          <w:sz w:val="21"/>
        </w:rPr>
        <w:t>本合同（含附件）共计</w:t>
      </w:r>
      <w:r>
        <w:rPr>
          <w:color w:val="000000"/>
          <w:sz w:val="21"/>
          <w:u w:val="single"/>
        </w:rPr>
        <w:t xml:space="preserve">   </w:t>
      </w:r>
      <w:r>
        <w:rPr>
          <w:color w:val="000000"/>
          <w:sz w:val="21"/>
        </w:rPr>
        <w:t>页，缺页之合同为无效合同。</w:t>
      </w:r>
    </w:p>
    <w:p>
      <w:pPr>
        <w:ind w:firstLine="424"/>
        <w:jc w:val="both"/>
      </w:pPr>
      <w:r>
        <w:rPr>
          <w:color w:val="000000"/>
          <w:sz w:val="21"/>
        </w:rPr>
        <w:t>6.</w:t>
      </w:r>
      <w:r>
        <w:rPr>
          <w:color w:val="000000"/>
          <w:sz w:val="21"/>
        </w:rPr>
        <w:t>本合同签约履约地点：广东省佛山市。</w:t>
      </w:r>
    </w:p>
    <w:p>
      <w:pPr>
        <w:ind w:firstLine="424"/>
        <w:jc w:val="both"/>
      </w:pPr>
      <w:r>
        <w:rPr>
          <w:color w:val="000000"/>
          <w:sz w:val="21"/>
        </w:rPr>
        <w:t>7.</w:t>
      </w:r>
      <w:r>
        <w:rPr>
          <w:color w:val="000000"/>
          <w:sz w:val="21"/>
        </w:rPr>
        <w:t>本合同所指“书面通知”包括但不限于短信、电子邮件等数据电文的通知形式，到达时间以民事诉讼法的规定为准，但进行书面通知前后，通知方均有义务电话确认通知事项。</w:t>
      </w:r>
    </w:p>
    <w:p>
      <w:pPr>
        <w:ind w:firstLine="424"/>
        <w:jc w:val="both"/>
      </w:pPr>
      <w:r>
        <w:rPr>
          <w:color w:val="000000"/>
          <w:sz w:val="21"/>
        </w:rPr>
        <w:t>8.</w:t>
      </w:r>
      <w:r>
        <w:rPr>
          <w:color w:val="000000"/>
          <w:sz w:val="21"/>
        </w:rPr>
        <w:t>双方均已对以上各条款及附件作充分了解，并明确理解由此而产生的相关权责。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05"/>
        <w:gridCol w:w="3944"/>
        <w:gridCol w:w="157"/>
      </w:tblGrid>
      <w:tr>
        <w:tc>
          <w:tcPr>
            <w:tcW w:type="dxa" w:w="4205"/>
            <w:tcBorders>
              <w:top w:val="none" w:color="000000" w:sz="4"/>
              <w:left w:val="none" w:color="000000" w:sz="4"/>
              <w:bottom w:val="none" w:color="000000" w:sz="4"/>
              <w:right w:val="dashed" w:color="000000" w:sz="4"/>
            </w:tcBorders>
            <w:vAlign w:val="top"/>
          </w:tcPr>
          <w:p>
            <w:pPr>
              <w:jc w:val="both"/>
            </w:pPr>
            <w:r>
              <w:rPr>
                <w:b/>
                <w:color w:val="000000"/>
                <w:sz w:val="21"/>
              </w:rPr>
              <w:t>甲方（盖章）：</w:t>
            </w:r>
          </w:p>
          <w:p>
            <w:pPr>
              <w:jc w:val="both"/>
            </w:pPr>
            <w:r>
              <w:rPr>
                <w:color w:val="000000"/>
                <w:sz w:val="21"/>
              </w:rPr>
              <w:t>代表：</w:t>
            </w:r>
            <w:r>
              <w:rPr>
                <w:color w:val="000000"/>
                <w:sz w:val="21"/>
                <w:u w:val="single"/>
              </w:rPr>
              <w:t xml:space="preserve">                             </w:t>
            </w:r>
            <w:r>
              <w:rPr>
                <w:color w:val="000000"/>
                <w:sz w:val="21"/>
              </w:rPr>
              <w:t xml:space="preserve"> </w:t>
            </w:r>
          </w:p>
          <w:p>
            <w:pPr>
              <w:jc w:val="both"/>
            </w:pPr>
            <w:r>
              <w:rPr>
                <w:color w:val="000000"/>
                <w:sz w:val="21"/>
              </w:rPr>
              <w:t>地址：</w:t>
            </w:r>
          </w:p>
          <w:p>
            <w:pPr>
              <w:jc w:val="both"/>
            </w:pPr>
            <w:r>
              <w:rPr>
                <w:color w:val="000000"/>
                <w:sz w:val="21"/>
              </w:rPr>
              <w:t>电话：</w:t>
            </w:r>
          </w:p>
          <w:p>
            <w:pPr>
              <w:jc w:val="both"/>
            </w:pPr>
            <w:r>
              <w:rPr>
                <w:color w:val="000000"/>
                <w:sz w:val="21"/>
              </w:rPr>
              <w:t>传真：</w:t>
            </w:r>
          </w:p>
          <w:p>
            <w:pPr>
              <w:jc w:val="both"/>
            </w:pPr>
            <w:r>
              <w:rPr>
                <w:color w:val="000000"/>
                <w:sz w:val="21"/>
              </w:rPr>
              <w:t>日期：           年     月    日</w:t>
            </w:r>
          </w:p>
        </w:tc>
        <w:tc>
          <w:tcPr>
            <w:tcW w:type="dxa" w:w="3944"/>
            <w:tcBorders>
              <w:top w:val="none" w:color="000000" w:sz="4"/>
              <w:left w:val="none" w:color="000000" w:sz="4"/>
              <w:bottom w:val="none" w:color="000000" w:sz="4"/>
              <w:right w:val="none" w:color="000000" w:sz="4"/>
            </w:tcBorders>
            <w:vAlign w:val="top"/>
          </w:tcPr>
          <w:p>
            <w:pPr>
              <w:jc w:val="both"/>
            </w:pPr>
            <w:r>
              <w:rPr>
                <w:b/>
                <w:color w:val="000000"/>
                <w:sz w:val="21"/>
              </w:rPr>
              <w:t>乙方（盖章）：</w:t>
            </w:r>
          </w:p>
          <w:p>
            <w:pPr>
              <w:jc w:val="both"/>
            </w:pPr>
            <w:r>
              <w:rPr>
                <w:color w:val="000000"/>
                <w:sz w:val="21"/>
              </w:rPr>
              <w:t>代表：</w:t>
            </w:r>
            <w:r>
              <w:rPr>
                <w:color w:val="000000"/>
                <w:sz w:val="21"/>
                <w:u w:val="single"/>
              </w:rPr>
              <w:t xml:space="preserve">                          </w:t>
            </w:r>
          </w:p>
          <w:p>
            <w:pPr>
              <w:jc w:val="both"/>
            </w:pPr>
            <w:r>
              <w:rPr>
                <w:color w:val="000000"/>
                <w:sz w:val="21"/>
              </w:rPr>
              <w:t>地址：</w:t>
            </w:r>
          </w:p>
          <w:p>
            <w:pPr>
              <w:jc w:val="both"/>
            </w:pPr>
            <w:r>
              <w:rPr>
                <w:color w:val="000000"/>
                <w:sz w:val="21"/>
              </w:rPr>
              <w:t>电话：</w:t>
            </w:r>
          </w:p>
          <w:p>
            <w:pPr>
              <w:jc w:val="both"/>
            </w:pPr>
            <w:r>
              <w:rPr>
                <w:color w:val="000000"/>
                <w:sz w:val="21"/>
              </w:rPr>
              <w:t>传真：</w:t>
            </w:r>
          </w:p>
          <w:p>
            <w:pPr>
              <w:jc w:val="both"/>
            </w:pPr>
            <w:r>
              <w:rPr>
                <w:color w:val="000000"/>
                <w:sz w:val="21"/>
              </w:rPr>
              <w:t>日期：        年     月     日</w:t>
            </w:r>
          </w:p>
        </w:tc>
        <w:tc>
          <w:tcPr>
            <w:tcW w:type="dxa" w:w="157"/>
            <w:tcBorders>
              <w:top w:val="none" w:color="000000" w:sz="4"/>
              <w:left w:val="none" w:color="000000" w:sz="4"/>
              <w:bottom w:val="none" w:color="000000" w:sz="4"/>
              <w:right w:val="none" w:color="000000" w:sz="4"/>
            </w:tcBorders>
          </w:tcPr>
          <w:p>
            <w:r>
              <w:rPr>
                <w:color w:val="000000"/>
                <w:sz w:val="21"/>
              </w:rPr>
              <w:t xml:space="preserve"> </w:t>
            </w:r>
          </w:p>
        </w:tc>
      </w:tr>
      <w:tr>
        <w:tc>
          <w:tcPr>
            <w:tcW w:type="dxa" w:w="4205"/>
            <w:tcBorders>
              <w:top w:val="none" w:color="000000" w:sz="4"/>
              <w:left w:val="none" w:color="000000" w:sz="4"/>
              <w:bottom w:val="single" w:color="FFFFFF" w:sz="4"/>
              <w:right w:val="dashed" w:color="000000" w:sz="4"/>
            </w:tcBorders>
            <w:vAlign w:val="top"/>
          </w:tcPr>
          <w:p>
            <w:pPr>
              <w:jc w:val="both"/>
            </w:pPr>
          </w:p>
          <w:p>
            <w:pPr>
              <w:jc w:val="both"/>
            </w:pPr>
          </w:p>
        </w:tc>
        <w:tc>
          <w:tcPr>
            <w:tcW w:type="dxa" w:w="4101"/>
            <w:gridSpan w:val="2"/>
            <w:tcBorders>
              <w:top w:val="none" w:color="000000" w:sz="4"/>
              <w:left w:val="none" w:color="000000" w:sz="4"/>
              <w:bottom w:val="single" w:color="FFFFFF" w:sz="4"/>
              <w:right w:val="none" w:color="000000" w:sz="4"/>
            </w:tcBorders>
            <w:vAlign w:val="top"/>
          </w:tcPr>
          <w:p>
            <w:pPr>
              <w:jc w:val="both"/>
            </w:pPr>
          </w:p>
          <w:p>
            <w:pPr>
              <w:jc w:val="both"/>
            </w:pPr>
            <w:r>
              <w:rPr>
                <w:b/>
                <w:color w:val="000000"/>
                <w:sz w:val="21"/>
              </w:rPr>
              <w:t>收款方、开票方须与乙方一致，专户为：</w:t>
            </w:r>
          </w:p>
          <w:p>
            <w:pPr>
              <w:jc w:val="both"/>
            </w:pPr>
            <w:r>
              <w:rPr>
                <w:color w:val="000000"/>
                <w:sz w:val="21"/>
              </w:rPr>
              <w:t>开户名称：</w:t>
            </w:r>
          </w:p>
          <w:p>
            <w:pPr>
              <w:jc w:val="both"/>
            </w:pPr>
            <w:r>
              <w:rPr>
                <w:color w:val="000000"/>
                <w:sz w:val="21"/>
              </w:rPr>
              <w:t>银行账号：</w:t>
            </w:r>
          </w:p>
          <w:p>
            <w:pPr>
              <w:jc w:val="both"/>
            </w:pPr>
            <w:r>
              <w:rPr>
                <w:color w:val="000000"/>
                <w:sz w:val="21"/>
              </w:rPr>
              <w:t>开 户 行：</w:t>
            </w:r>
          </w:p>
        </w:tc>
      </w:tr>
    </w:tbl>
    <w:p>
      <w:pPr>
        <w:jc w:val="both"/>
      </w:pPr>
    </w:p>
    <w:p>
      <w:pPr>
        <w:jc w:val="both"/>
      </w:pPr>
      <w:r>
        <w:rPr>
          <w:b/>
          <w:color w:val="000000"/>
          <w:sz w:val="21"/>
        </w:rPr>
        <w:t>鉴证单位：佛山市伟源招标代理有限公司</w:t>
      </w:r>
    </w:p>
    <w:p>
      <w:pPr>
        <w:jc w:val="both"/>
      </w:pPr>
      <w:r>
        <w:rPr>
          <w:color w:val="000000"/>
          <w:sz w:val="21"/>
        </w:rPr>
        <w:t>经核对，合同条款与采购文件一致。</w:t>
      </w:r>
    </w:p>
    <w:p>
      <w:pPr>
        <w:jc w:val="both"/>
      </w:pPr>
      <w:r>
        <w:rPr>
          <w:color w:val="000000"/>
          <w:sz w:val="21"/>
        </w:rPr>
        <w:t>鉴证日期：       年     月     日</w:t>
      </w:r>
    </w:p>
    <w:p>
      <w:pPr>
        <w:jc w:val="both"/>
      </w:pPr>
    </w:p>
    <w:p>
      <w:pPr>
        <w:jc w:val="both"/>
      </w:pPr>
    </w:p>
    <w:p>
      <w:pPr>
        <w:jc w:val="both"/>
      </w:pPr>
      <w:r>
        <w:rPr>
          <w:b/>
          <w:color w:val="000000"/>
          <w:sz w:val="21"/>
        </w:rPr>
        <w:t>合同附件清单：</w:t>
      </w:r>
    </w:p>
    <w:p>
      <w:pPr>
        <w:jc w:val="both"/>
      </w:pPr>
      <w:r>
        <w:rPr>
          <w:b/>
          <w:color w:val="000000"/>
          <w:sz w:val="21"/>
        </w:rPr>
        <w:t>附件一、《报价分析表》</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440605-2022-09160</w:t>
      </w:r>
    </w:p>
    <w:p>
      <w:pPr>
        <w:jc w:val="center"/>
      </w:pPr>
      <w:r>
        <w:rPr>
          <w:b/>
          <w:sz w:val="24"/>
        </w:rPr>
        <w:t>采购项目编号：</w:t>
      </w:r>
      <w:r>
        <w:rPr>
          <w:b/>
          <w:sz w:val="24"/>
        </w:rPr>
        <w:t>JF2022(NH)WS0111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佛山市伟源招标代理有限公司</w:t>
      </w:r>
    </w:p>
    <w:p>
      <w:pPr>
        <w:ind w:firstLine="480"/>
      </w:pPr>
      <w:r>
        <w:rPr/>
        <w:t>你方组织的</w:t>
      </w:r>
      <w:r>
        <w:rPr>
          <w:u w:val="single"/>
        </w:rPr>
        <w:t>垃圾焚烧发电厂飞灰固化等项目第三方机构检测服务</w:t>
      </w:r>
      <w:r>
        <w:rPr/>
        <w:t>项目的竞争性磋商[采购项目编号为：</w:t>
      </w:r>
      <w:r>
        <w:rPr>
          <w:u w:val="single"/>
        </w:rPr>
        <w:t>JF2022(NH)WS0111</w:t>
      </w:r>
      <w:r>
        <w:rPr/>
        <w:t>]，我方愿参与响应。</w:t>
      </w:r>
    </w:p>
    <w:p>
      <w:pPr>
        <w:ind w:firstLine="480"/>
      </w:pPr>
      <w:r>
        <w:rPr/>
        <w:t>我方确认收到贵方提供的</w:t>
      </w:r>
      <w:r>
        <w:rPr>
          <w:u w:val="single"/>
        </w:rPr>
        <w:t>垃圾焚烧发电厂飞灰固化等项目第三方机构检测服务</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佛山市伟源招标代理有限公司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垃圾焚烧发电厂飞灰固化等项目第三方机构检测服务</w:t>
      </w:r>
      <w:r>
        <w:rPr/>
        <w:t>项目采购[采购项目编号为</w:t>
      </w:r>
      <w:r>
        <w:rPr/>
        <w:t>JF2022(NH)WS0111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佛山市南海区城市管理和综合执法局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佛山市伟源招标代理有限公司</w:t>
      </w:r>
    </w:p>
    <w:p>
      <w:pPr>
        <w:ind w:firstLine="480"/>
      </w:pPr>
      <w:r>
        <w:rPr/>
        <w:t>我单位参加贵公司组织的</w:t>
      </w:r>
      <w:r>
        <w:rPr/>
        <w:t>垃圾焚烧发电厂飞灰固化等项目第三方机构检测服务</w:t>
      </w:r>
      <w:r>
        <w:rPr/>
        <w:t>（采购项目编号：</w:t>
      </w:r>
      <w:r>
        <w:rPr/>
        <w:t>JF2022(NH)WS0111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佛山市伟源招标代理有限公司</w:t>
      </w:r>
    </w:p>
    <w:p>
      <w:pPr>
        <w:ind w:firstLine="480"/>
      </w:pPr>
      <w:r>
        <w:rPr/>
        <w:t>我单位已登记并准备参与</w:t>
      </w:r>
      <w:r>
        <w:rPr/>
        <w:t>垃圾焚烧发电厂飞灰固化等项目第三方机构检测服务</w:t>
      </w:r>
      <w:r>
        <w:rPr/>
        <w:t>项目（采购项目编号：</w:t>
      </w:r>
      <w:r>
        <w:rPr/>
        <w:t>JF2022(NH)WS0111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