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440605-2022-07799</w:t>
      </w:r>
    </w:p>
    <w:p>
      <w:pPr>
        <w:jc w:val="center"/>
      </w:pPr>
      <w:r>
        <w:rPr>
          <w:b/>
          <w:sz w:val="24"/>
        </w:rPr>
        <w:t>采购项目编号：</w:t>
      </w:r>
      <w:r>
        <w:rPr>
          <w:b/>
          <w:sz w:val="24"/>
        </w:rPr>
        <w:t>SSZ-2022G31</w:t>
      </w:r>
    </w:p>
    <w:p>
      <w:pPr>
        <w:jc w:val="center"/>
      </w:pPr>
      <w:r>
        <w:rPr>
          <w:b/>
          <w:sz w:val="24"/>
        </w:rPr>
        <w:t>项目名称：</w:t>
      </w:r>
      <w:r>
        <w:rPr>
          <w:b/>
          <w:sz w:val="24"/>
        </w:rPr>
        <w:t>狮山镇建筑工程质量安全监督服务</w:t>
      </w:r>
    </w:p>
    <w:p>
      <w:pPr>
        <w:jc w:val="center"/>
      </w:pPr>
      <w:r>
        <w:rPr>
          <w:b/>
          <w:sz w:val="24"/>
        </w:rPr>
        <w:t>采购人：</w:t>
      </w:r>
      <w:r>
        <w:rPr>
          <w:b/>
          <w:sz w:val="24"/>
        </w:rPr>
        <w:t>佛山市南海区狮山镇城建和水利办公室</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 磋商邀请</w:t>
      </w:r>
    </w:p>
    <w:p>
      <w:pPr>
        <w:ind w:firstLine="480"/>
      </w:pPr>
      <w:r>
        <w:rPr/>
        <w:t>佛山市伟源招标代理有限公司</w:t>
      </w:r>
      <w:r>
        <w:rPr/>
        <w:t>受</w:t>
      </w:r>
      <w:r>
        <w:rPr/>
        <w:t>佛山市南海区狮山镇城建和水利办公室</w:t>
      </w:r>
      <w:r>
        <w:rPr/>
        <w:t>的委托，采用</w:t>
      </w:r>
      <w:r>
        <w:rPr/>
        <w:t>竞争性磋商</w:t>
      </w:r>
      <w:r>
        <w:rPr/>
        <w:t>方式组织采购</w:t>
      </w:r>
      <w:r>
        <w:rPr/>
        <w:t>狮山镇建筑工程质量安全监督服务</w:t>
      </w:r>
      <w:r>
        <w:rPr/>
        <w:t>。欢迎符合资格条件的供应商参加。</w:t>
      </w:r>
    </w:p>
    <w:p>
      <w:r>
        <w:rPr>
          <w:b/>
          <w:sz w:val="28"/>
        </w:rPr>
        <w:t>一.项目概述</w:t>
      </w:r>
    </w:p>
    <w:p>
      <w:r>
        <w:rPr>
          <w:b/>
          <w:sz w:val="24"/>
        </w:rPr>
        <w:t>1.名称与编号</w:t>
      </w:r>
    </w:p>
    <w:p>
      <w:pPr>
        <w:ind w:firstLine="480"/>
      </w:pPr>
      <w:r>
        <w:rPr/>
        <w:t>采购项目名称：</w:t>
      </w:r>
      <w:r>
        <w:rPr/>
        <w:t>狮山镇建筑工程质量安全监督服务</w:t>
      </w:r>
    </w:p>
    <w:p>
      <w:pPr>
        <w:ind w:firstLine="480"/>
      </w:pPr>
      <w:r>
        <w:rPr/>
        <w:t>采购计划编号：</w:t>
      </w:r>
      <w:r>
        <w:rPr/>
        <w:t>440605-2022-07799</w:t>
      </w:r>
    </w:p>
    <w:p>
      <w:pPr>
        <w:ind w:firstLine="480"/>
      </w:pPr>
      <w:r>
        <w:rPr/>
        <w:t>采购项目编号：</w:t>
      </w:r>
      <w:r>
        <w:rPr/>
        <w:t>SSZ-2022G31</w:t>
      </w:r>
    </w:p>
    <w:p>
      <w:pPr>
        <w:ind w:firstLine="480"/>
      </w:pPr>
      <w:r>
        <w:rPr/>
        <w:t>采购方式：</w:t>
      </w:r>
      <w:r>
        <w:rPr/>
        <w:t>竞争性磋商</w:t>
      </w:r>
    </w:p>
    <w:p>
      <w:pPr>
        <w:ind w:firstLine="480"/>
      </w:pPr>
      <w:r>
        <w:rPr/>
        <w:t>预算金额：</w:t>
      </w:r>
      <w:r>
        <w:rPr/>
        <w:t>1,821,000.00</w:t>
      </w:r>
      <w:r>
        <w:rPr/>
        <w:t>元</w:t>
      </w:r>
    </w:p>
    <w:p>
      <w:r>
        <w:rPr>
          <w:b/>
          <w:sz w:val="24"/>
        </w:rPr>
        <w:t>2.项目内容及需求情况（采购项目技术规格、参数及要求）</w:t>
      </w:r>
    </w:p>
    <w:p>
      <w:pPr>
        <w:ind w:firstLine="480"/>
      </w:pPr>
    </w:p>
    <w:p/>
    <w:p>
      <w:r>
        <w:rPr/>
        <w:t>采购包1(狮山镇建筑工程质量安全监督服务):</w:t>
      </w:r>
    </w:p>
    <w:p>
      <w:r>
        <w:rPr/>
        <w:t>采购包预算金额：1,821,000.00元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狮山镇建筑工程质量安全监督服务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合同履行期限：自合同签订并生效之日起1年。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经审计财务状况报告或基本开户行出具的资信证明或财政部门认可的政府采购专业担保机构出具的投标担保函）。</w:t>
      </w:r>
    </w:p>
    <w:p/>
    <w:p>
      <w:r>
        <w:rPr/>
        <w:t>4）履行合同所必需的设备和专业技术能力：按投标（响应）文件格式填报设备及专业技术能力情况。</w:t>
      </w:r>
    </w:p>
    <w:p/>
    <w:p>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采购包1（狮山镇建筑工程质量安全监督服务）：</w:t>
      </w:r>
      <w:r>
        <w:rPr/>
        <w:t>采购包整体专门面向中小企业。供应商须符合本项目采购标的对应行业（本项目行业为：其他未列明行业）的政策划分标准。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采购包1（狮山镇建筑工程质量安全监督服务）：</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p>
    <w:p>
      <w:r>
        <w:rPr>
          <w:b/>
          <w:sz w:val="28"/>
        </w:rPr>
        <w:t>六.本项目联系方式：</w:t>
      </w:r>
    </w:p>
    <w:p>
      <w:r>
        <w:rPr>
          <w:b/>
          <w:sz w:val="24"/>
        </w:rPr>
        <w:t>1.采购人信息</w:t>
      </w:r>
    </w:p>
    <w:p>
      <w:pPr>
        <w:ind w:firstLine="480"/>
      </w:pPr>
      <w:r>
        <w:rPr/>
        <w:t>名称：</w:t>
      </w:r>
      <w:r>
        <w:rPr/>
        <w:t>佛山市南海区狮山镇城建和水利办公室</w:t>
      </w:r>
    </w:p>
    <w:p>
      <w:pPr>
        <w:ind w:firstLine="480"/>
      </w:pPr>
      <w:r>
        <w:rPr/>
        <w:t>地址：</w:t>
      </w:r>
      <w:r>
        <w:rPr/>
        <w:t>佛山市南海区狮山镇建设大厦</w:t>
      </w:r>
    </w:p>
    <w:p>
      <w:pPr>
        <w:ind w:firstLine="480"/>
      </w:pPr>
      <w:r>
        <w:rPr/>
        <w:t>联系方式：</w:t>
      </w:r>
      <w:r>
        <w:rPr/>
        <w:t>0757-86681177</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1.打“★”号条款为实质性条款，若有任何一条负偏离或不满足则导致投标（响应）无效。</w:t>
      </w:r>
    </w:p>
    <w:p>
      <w:r>
        <w:rPr>
          <w:sz w:val="21"/>
        </w:rPr>
        <w:t>2.打“▲”号条款为重要技术参数（如有），若有部分“▲”条款未响应或不满足，将根据评审要求影响其得分，但不作为无效投标（响应）条款。</w:t>
      </w:r>
    </w:p>
    <w:p>
      <w:r>
        <w:rPr>
          <w:sz w:val="21"/>
        </w:rPr>
        <w:t>3.</w:t>
      </w:r>
      <w:r>
        <w:rPr>
          <w:sz w:val="21"/>
        </w:rPr>
        <w:t>为进一步加强狮山镇建筑工程施工现场安全管理工作，有效防范和坚决遏制建筑工程安全生产事故的发生，以及加快推进狮山镇辖区内市政工程的建设，避免工程质量、施工安全管理等监管的缺失，加强对因各种原因未能依法办理报建手续的市政工程的管理，现通过向社会购买辅助性服务，开展对相应类别的建设工程项目管理、项目巡查等工作提供服务。</w:t>
      </w:r>
    </w:p>
    <w:p>
      <w:r>
        <w:rPr>
          <w:sz w:val="22"/>
        </w:rPr>
        <w:t>.</w:t>
      </w:r>
    </w:p>
    <w:p/>
    <w:p>
      <w:r>
        <w:rPr>
          <w:b/>
          <w:sz w:val="22"/>
        </w:rPr>
        <w:t>附件</w:t>
      </w:r>
      <w:r>
        <w:rPr>
          <w:b/>
          <w:sz w:val="22"/>
        </w:rPr>
        <w:t>1:</w:t>
      </w:r>
    </w:p>
    <w:tbl>
      <w:tblPr>
        <w:tblW w:w="0" w:type="auto"/>
        <w:tblInd w:type="dxa" w:w="90"/>
        <w:tblBorders>
          <w:top w:val="single"/>
          <w:left w:val="single"/>
          <w:bottom w:val="single"/>
          <w:right w:val="single"/>
          <w:insideH w:val="single"/>
          <w:insideV w:val="single"/>
        </w:tblBorders>
      </w:tblPr>
      <w:tblGrid>
        <w:gridCol w:w="562"/>
        <w:gridCol w:w="936"/>
        <w:gridCol w:w="667"/>
        <w:gridCol w:w="3042"/>
        <w:gridCol w:w="901"/>
        <w:gridCol w:w="2199"/>
      </w:tblGrid>
      <w:tr>
        <w:tc>
          <w:tcPr>
            <w:tcW w:type="dxa" w:w="8307"/>
            <w:gridSpan w:val="6"/>
          </w:tcPr>
          <w:p>
            <w:pPr>
              <w:jc w:val="center"/>
            </w:pPr>
            <w:r>
              <w:rPr>
                <w:b/>
                <w:sz w:val="21"/>
              </w:rPr>
              <w:t>狮山镇农村宅基地个人自建房检查表</w:t>
            </w:r>
          </w:p>
        </w:tc>
      </w:tr>
      <w:tr>
        <w:tc>
          <w:tcPr>
            <w:tcW w:type="dxa" w:w="5207"/>
            <w:gridSpan w:val="4"/>
          </w:tcPr>
          <w:p>
            <w:r>
              <w:rPr>
                <w:sz w:val="21"/>
              </w:rPr>
              <w:t>业主：                       村委：</w:t>
            </w:r>
          </w:p>
        </w:tc>
        <w:tc>
          <w:tcPr>
            <w:tcW w:type="dxa" w:w="3100"/>
            <w:gridSpan w:val="2"/>
          </w:tcPr>
          <w:p>
            <w:r>
              <w:rPr>
                <w:sz w:val="21"/>
              </w:rPr>
              <w:t>地址：</w:t>
            </w:r>
          </w:p>
        </w:tc>
      </w:tr>
      <w:tr>
        <w:tc>
          <w:tcPr>
            <w:tcW w:type="dxa" w:w="562"/>
            <w:tcBorders>
              <w:top w:val="single" w:color="000000" w:sz="4"/>
              <w:left w:val="single" w:color="000000" w:sz="4"/>
              <w:bottom w:val="single" w:color="000000" w:sz="4"/>
              <w:right w:val="single" w:color="000000" w:sz="4"/>
            </w:tcBorders>
          </w:tcPr>
          <w:p>
            <w:pPr>
              <w:jc w:val="center"/>
            </w:pPr>
            <w:r>
              <w:rPr>
                <w:b/>
                <w:sz w:val="21"/>
              </w:rPr>
              <w:t>类型</w:t>
            </w:r>
          </w:p>
        </w:tc>
        <w:tc>
          <w:tcPr>
            <w:tcW w:type="dxa" w:w="936"/>
            <w:tcBorders>
              <w:top w:val="single" w:color="000000" w:sz="4"/>
              <w:left w:val="none" w:color="000000" w:sz="4"/>
              <w:bottom w:val="single" w:color="000000" w:sz="4"/>
              <w:right w:val="single" w:color="000000" w:sz="4"/>
            </w:tcBorders>
          </w:tcPr>
          <w:p>
            <w:pPr>
              <w:jc w:val="center"/>
            </w:pPr>
            <w:r>
              <w:rPr>
                <w:b/>
                <w:sz w:val="21"/>
              </w:rPr>
              <w:t>检查项目</w:t>
            </w:r>
          </w:p>
        </w:tc>
        <w:tc>
          <w:tcPr>
            <w:tcW w:type="dxa" w:w="667"/>
            <w:tcBorders>
              <w:top w:val="single" w:color="000000" w:sz="4"/>
              <w:left w:val="none" w:color="000000" w:sz="4"/>
              <w:bottom w:val="single" w:color="000000" w:sz="4"/>
              <w:right w:val="single" w:color="000000" w:sz="4"/>
            </w:tcBorders>
          </w:tcPr>
          <w:p>
            <w:pPr>
              <w:jc w:val="center"/>
            </w:pPr>
            <w:r>
              <w:rPr>
                <w:b/>
                <w:sz w:val="21"/>
              </w:rPr>
              <w:t>序号</w:t>
            </w:r>
          </w:p>
        </w:tc>
        <w:tc>
          <w:tcPr>
            <w:tcW w:type="dxa" w:w="3042"/>
            <w:tcBorders>
              <w:top w:val="single" w:color="000000" w:sz="4"/>
              <w:left w:val="none" w:color="000000" w:sz="4"/>
              <w:bottom w:val="single" w:color="000000" w:sz="4"/>
              <w:right w:val="single" w:color="000000" w:sz="4"/>
            </w:tcBorders>
          </w:tcPr>
          <w:p>
            <w:pPr>
              <w:jc w:val="center"/>
            </w:pPr>
            <w:r>
              <w:rPr>
                <w:b/>
                <w:sz w:val="21"/>
              </w:rPr>
              <w:t>检查内容</w:t>
            </w:r>
          </w:p>
        </w:tc>
        <w:tc>
          <w:tcPr>
            <w:tcW w:type="dxa" w:w="901"/>
            <w:tcBorders>
              <w:top w:val="single" w:color="000000" w:sz="4"/>
              <w:left w:val="none" w:color="000000" w:sz="4"/>
              <w:bottom w:val="single" w:color="000000" w:sz="4"/>
              <w:right w:val="single" w:color="000000" w:sz="4"/>
            </w:tcBorders>
          </w:tcPr>
          <w:p>
            <w:pPr>
              <w:jc w:val="center"/>
            </w:pPr>
            <w:r>
              <w:rPr>
                <w:b/>
                <w:sz w:val="21"/>
              </w:rPr>
              <w:t>检查情况</w:t>
            </w:r>
          </w:p>
        </w:tc>
        <w:tc>
          <w:tcPr>
            <w:tcW w:type="dxa" w:w="2199"/>
            <w:tcBorders>
              <w:top w:val="single" w:color="000000" w:sz="4"/>
              <w:left w:val="none" w:color="000000" w:sz="4"/>
              <w:bottom w:val="single" w:color="000000" w:sz="4"/>
              <w:right w:val="single" w:color="000000" w:sz="4"/>
            </w:tcBorders>
          </w:tcPr>
          <w:p>
            <w:pPr>
              <w:jc w:val="center"/>
            </w:pPr>
            <w:r>
              <w:rPr>
                <w:b/>
                <w:sz w:val="21"/>
              </w:rPr>
              <w:t>备注</w:t>
            </w:r>
          </w:p>
        </w:tc>
      </w:tr>
      <w:tr>
        <w:tc>
          <w:tcPr>
            <w:tcW w:type="dxa" w:w="562"/>
            <w:tcBorders>
              <w:top w:val="none" w:color="000000" w:sz="4"/>
              <w:left w:val="single" w:color="000000" w:sz="4"/>
              <w:bottom w:val="single" w:color="000000" w:sz="4"/>
              <w:right w:val="single" w:color="000000" w:sz="4"/>
            </w:tcBorders>
          </w:tcPr>
          <w:p>
            <w:pPr>
              <w:jc w:val="center"/>
            </w:pPr>
            <w:r>
              <w:rPr>
                <w:sz w:val="21"/>
              </w:rPr>
              <w:t>一</w:t>
            </w:r>
          </w:p>
        </w:tc>
        <w:tc>
          <w:tcPr>
            <w:tcW w:type="dxa" w:w="936"/>
            <w:tcBorders>
              <w:top w:val="none" w:color="000000" w:sz="4"/>
              <w:left w:val="none" w:color="000000" w:sz="4"/>
              <w:bottom w:val="single" w:color="000000" w:sz="4"/>
              <w:right w:val="single" w:color="000000" w:sz="4"/>
            </w:tcBorders>
          </w:tcPr>
          <w:p>
            <w:pPr>
              <w:jc w:val="center"/>
            </w:pPr>
            <w:r>
              <w:rPr>
                <w:sz w:val="21"/>
              </w:rPr>
              <w:t>企业管理</w:t>
            </w:r>
          </w:p>
        </w:tc>
        <w:tc>
          <w:tcPr>
            <w:tcW w:type="dxa" w:w="667"/>
            <w:tcBorders>
              <w:top w:val="none" w:color="000000" w:sz="4"/>
              <w:left w:val="none" w:color="000000" w:sz="4"/>
              <w:bottom w:val="single" w:color="000000" w:sz="4"/>
              <w:right w:val="single" w:color="000000" w:sz="4"/>
            </w:tcBorders>
          </w:tcPr>
          <w:p>
            <w:pPr>
              <w:jc w:val="center"/>
            </w:pPr>
            <w:r>
              <w:rPr>
                <w:sz w:val="21"/>
              </w:rPr>
              <w:t>1</w:t>
            </w:r>
          </w:p>
        </w:tc>
        <w:tc>
          <w:tcPr>
            <w:tcW w:type="dxa" w:w="3042"/>
            <w:tcBorders>
              <w:top w:val="none" w:color="000000" w:sz="4"/>
              <w:left w:val="none" w:color="000000" w:sz="4"/>
              <w:bottom w:val="single" w:color="000000" w:sz="4"/>
              <w:right w:val="single" w:color="000000" w:sz="4"/>
            </w:tcBorders>
          </w:tcPr>
          <w:p>
            <w:r>
              <w:rPr>
                <w:sz w:val="21"/>
              </w:rPr>
              <w:t>业主是否委托有资质的施工单位</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现场需提供业主、施工单位相关协议、施工单位资质证等资料的复印件</w:t>
            </w:r>
          </w:p>
        </w:tc>
      </w:tr>
      <w:tr>
        <w:tc>
          <w:tcPr>
            <w:tcW w:type="dxa" w:w="562"/>
            <w:tcBorders>
              <w:top w:val="none" w:color="000000" w:sz="4"/>
              <w:left w:val="single" w:color="000000" w:sz="4"/>
              <w:bottom w:val="single" w:color="000000" w:sz="4"/>
              <w:right w:val="single" w:color="000000" w:sz="4"/>
            </w:tcBorders>
          </w:tcPr>
          <w:p>
            <w:pPr>
              <w:jc w:val="center"/>
            </w:pPr>
            <w:r>
              <w:rPr>
                <w:sz w:val="21"/>
              </w:rPr>
              <w:t>二</w:t>
            </w:r>
          </w:p>
        </w:tc>
        <w:tc>
          <w:tcPr>
            <w:tcW w:type="dxa" w:w="936"/>
            <w:tcBorders>
              <w:top w:val="none" w:color="000000" w:sz="4"/>
              <w:left w:val="none" w:color="000000" w:sz="4"/>
              <w:bottom w:val="single" w:color="000000" w:sz="4"/>
              <w:right w:val="single" w:color="000000" w:sz="4"/>
            </w:tcBorders>
          </w:tcPr>
          <w:p>
            <w:pPr>
              <w:jc w:val="center"/>
            </w:pPr>
            <w:r>
              <w:rPr>
                <w:sz w:val="21"/>
              </w:rPr>
              <w:t>自购保险</w:t>
            </w:r>
          </w:p>
        </w:tc>
        <w:tc>
          <w:tcPr>
            <w:tcW w:type="dxa" w:w="667"/>
            <w:tcBorders>
              <w:top w:val="none" w:color="000000" w:sz="4"/>
              <w:left w:val="none" w:color="000000" w:sz="4"/>
              <w:bottom w:val="single" w:color="000000" w:sz="4"/>
              <w:right w:val="single" w:color="000000" w:sz="4"/>
            </w:tcBorders>
          </w:tcPr>
          <w:p>
            <w:pPr>
              <w:jc w:val="center"/>
            </w:pPr>
            <w:r>
              <w:rPr>
                <w:sz w:val="21"/>
              </w:rPr>
              <w:t>2</w:t>
            </w:r>
          </w:p>
        </w:tc>
        <w:tc>
          <w:tcPr>
            <w:tcW w:type="dxa" w:w="3042"/>
            <w:tcBorders>
              <w:top w:val="none" w:color="000000" w:sz="4"/>
              <w:left w:val="none" w:color="000000" w:sz="4"/>
              <w:bottom w:val="single" w:color="000000" w:sz="4"/>
              <w:right w:val="single" w:color="000000" w:sz="4"/>
            </w:tcBorders>
          </w:tcPr>
          <w:p>
            <w:r>
              <w:rPr>
                <w:sz w:val="21"/>
              </w:rPr>
              <w:t>业主或施工单位是否购买总保额不少于100万的人身意外保险</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现场需提供已购买保险的复印件</w:t>
            </w:r>
          </w:p>
        </w:tc>
      </w:tr>
      <w:tr>
        <w:tc>
          <w:tcPr>
            <w:tcW w:type="dxa" w:w="562"/>
            <w:tcBorders>
              <w:top w:val="none" w:color="000000" w:sz="4"/>
              <w:left w:val="single" w:color="000000" w:sz="4"/>
              <w:bottom w:val="single" w:color="000000" w:sz="4"/>
              <w:right w:val="single" w:color="000000" w:sz="4"/>
            </w:tcBorders>
          </w:tcPr>
          <w:p>
            <w:pPr>
              <w:jc w:val="center"/>
            </w:pPr>
            <w:r>
              <w:rPr>
                <w:sz w:val="21"/>
              </w:rPr>
              <w:t>三</w:t>
            </w:r>
          </w:p>
        </w:tc>
        <w:tc>
          <w:tcPr>
            <w:tcW w:type="dxa" w:w="936"/>
            <w:tcBorders>
              <w:top w:val="none" w:color="000000" w:sz="4"/>
              <w:left w:val="none" w:color="000000" w:sz="4"/>
              <w:bottom w:val="single" w:color="000000" w:sz="4"/>
              <w:right w:val="single" w:color="000000" w:sz="4"/>
            </w:tcBorders>
          </w:tcPr>
          <w:p>
            <w:pPr>
              <w:jc w:val="center"/>
            </w:pPr>
            <w:r>
              <w:rPr>
                <w:sz w:val="21"/>
              </w:rPr>
              <w:t>脚手架</w:t>
            </w:r>
          </w:p>
        </w:tc>
        <w:tc>
          <w:tcPr>
            <w:tcW w:type="dxa" w:w="667"/>
            <w:tcBorders>
              <w:top w:val="none" w:color="000000" w:sz="4"/>
              <w:left w:val="none" w:color="000000" w:sz="4"/>
              <w:bottom w:val="single" w:color="000000" w:sz="4"/>
              <w:right w:val="single" w:color="000000" w:sz="4"/>
            </w:tcBorders>
          </w:tcPr>
          <w:p>
            <w:pPr>
              <w:jc w:val="center"/>
            </w:pPr>
            <w:r>
              <w:rPr>
                <w:sz w:val="21"/>
              </w:rPr>
              <w:t>3</w:t>
            </w:r>
          </w:p>
        </w:tc>
        <w:tc>
          <w:tcPr>
            <w:tcW w:type="dxa" w:w="3042"/>
            <w:tcBorders>
              <w:top w:val="none" w:color="000000" w:sz="4"/>
              <w:left w:val="none" w:color="000000" w:sz="4"/>
              <w:bottom w:val="single" w:color="000000" w:sz="4"/>
              <w:right w:val="single" w:color="000000" w:sz="4"/>
            </w:tcBorders>
          </w:tcPr>
          <w:p>
            <w:r>
              <w:rPr>
                <w:sz w:val="21"/>
              </w:rPr>
              <w:t>捣制二层楼板前或出现高处作业工位时（即坠落高度基准面2米以上的作业工位），是否设置施工排栅和密目安全网</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密目安全网是指达到2000目以上</w:t>
            </w:r>
          </w:p>
        </w:tc>
      </w:tr>
      <w:tr>
        <w:tc>
          <w:tcPr>
            <w:tcW w:type="dxa" w:w="562"/>
            <w:vMerge w:val="restart"/>
            <w:tcBorders>
              <w:top w:val="none" w:color="000000" w:sz="4"/>
              <w:left w:val="single" w:color="000000" w:sz="4"/>
              <w:bottom w:val="single" w:color="000000" w:sz="4"/>
              <w:right w:val="single" w:color="000000" w:sz="4"/>
            </w:tcBorders>
          </w:tcPr>
          <w:p>
            <w:pPr>
              <w:jc w:val="center"/>
            </w:pPr>
            <w:r>
              <w:rPr>
                <w:sz w:val="21"/>
              </w:rPr>
              <w:t>四</w:t>
            </w:r>
          </w:p>
        </w:tc>
        <w:tc>
          <w:tcPr>
            <w:tcW w:type="dxa" w:w="936"/>
            <w:vMerge w:val="restart"/>
            <w:tcBorders>
              <w:top w:val="none" w:color="000000" w:sz="4"/>
              <w:left w:val="none" w:color="000000" w:sz="4"/>
              <w:bottom w:val="single" w:color="000000" w:sz="4"/>
              <w:right w:val="single" w:color="000000" w:sz="4"/>
            </w:tcBorders>
          </w:tcPr>
          <w:p>
            <w:pPr>
              <w:jc w:val="center"/>
            </w:pPr>
            <w:r>
              <w:rPr>
                <w:sz w:val="21"/>
              </w:rPr>
              <w:t>高处作业</w:t>
            </w:r>
          </w:p>
        </w:tc>
        <w:tc>
          <w:tcPr>
            <w:tcW w:type="dxa" w:w="667"/>
            <w:tcBorders>
              <w:top w:val="none" w:color="000000" w:sz="4"/>
              <w:left w:val="none" w:color="000000" w:sz="4"/>
              <w:bottom w:val="single" w:color="000000" w:sz="4"/>
              <w:right w:val="single" w:color="000000" w:sz="4"/>
            </w:tcBorders>
          </w:tcPr>
          <w:p>
            <w:pPr>
              <w:jc w:val="center"/>
            </w:pPr>
            <w:r>
              <w:rPr>
                <w:sz w:val="21"/>
              </w:rPr>
              <w:t>4</w:t>
            </w:r>
          </w:p>
        </w:tc>
        <w:tc>
          <w:tcPr>
            <w:tcW w:type="dxa" w:w="3042"/>
            <w:tcBorders>
              <w:top w:val="none" w:color="000000" w:sz="4"/>
              <w:left w:val="none" w:color="000000" w:sz="4"/>
              <w:bottom w:val="single" w:color="000000" w:sz="4"/>
              <w:right w:val="single" w:color="000000" w:sz="4"/>
            </w:tcBorders>
          </w:tcPr>
          <w:p>
            <w:r>
              <w:rPr>
                <w:sz w:val="21"/>
              </w:rPr>
              <w:t>建筑工人作业期间是否佩带安全帽，高空作业是否佩带安全带</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作业人员进入工地就必须佩带安全帽</w:t>
            </w:r>
          </w:p>
        </w:tc>
      </w:tr>
      <w:tr>
        <w:tc>
          <w:tcPr>
            <w:tcW w:type="dxa" w:w="562"/>
            <w:vMerge/>
            <w:tcBorders>
              <w:top w:val="none" w:color="000000" w:sz="4"/>
              <w:left w:val="singl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667"/>
            <w:tcBorders>
              <w:top w:val="none" w:color="000000" w:sz="4"/>
              <w:left w:val="none" w:color="000000" w:sz="4"/>
              <w:bottom w:val="single" w:color="000000" w:sz="4"/>
              <w:right w:val="single" w:color="000000" w:sz="4"/>
            </w:tcBorders>
          </w:tcPr>
          <w:p>
            <w:pPr>
              <w:jc w:val="center"/>
            </w:pPr>
            <w:r>
              <w:rPr>
                <w:sz w:val="21"/>
              </w:rPr>
              <w:t>5</w:t>
            </w:r>
          </w:p>
        </w:tc>
        <w:tc>
          <w:tcPr>
            <w:tcW w:type="dxa" w:w="3042"/>
            <w:tcBorders>
              <w:top w:val="none" w:color="000000" w:sz="4"/>
              <w:left w:val="none" w:color="000000" w:sz="4"/>
              <w:bottom w:val="single" w:color="000000" w:sz="4"/>
              <w:right w:val="single" w:color="000000" w:sz="4"/>
            </w:tcBorders>
          </w:tcPr>
          <w:p>
            <w:r>
              <w:rPr>
                <w:sz w:val="21"/>
              </w:rPr>
              <w:t>现场出入口及施工梯出入口是否做好防护措施</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需搭设高空坠物挡板</w:t>
            </w:r>
          </w:p>
        </w:tc>
      </w:tr>
      <w:tr>
        <w:tc>
          <w:tcPr>
            <w:tcW w:type="dxa" w:w="562"/>
            <w:vMerge/>
            <w:tcBorders>
              <w:top w:val="none" w:color="000000" w:sz="4"/>
              <w:left w:val="singl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667"/>
            <w:tcBorders>
              <w:top w:val="none" w:color="000000" w:sz="4"/>
              <w:left w:val="none" w:color="000000" w:sz="4"/>
              <w:bottom w:val="single" w:color="000000" w:sz="4"/>
              <w:right w:val="single" w:color="000000" w:sz="4"/>
            </w:tcBorders>
          </w:tcPr>
          <w:p>
            <w:pPr>
              <w:jc w:val="center"/>
            </w:pPr>
            <w:r>
              <w:rPr>
                <w:sz w:val="21"/>
              </w:rPr>
              <w:t>6</w:t>
            </w:r>
          </w:p>
        </w:tc>
        <w:tc>
          <w:tcPr>
            <w:tcW w:type="dxa" w:w="3042"/>
            <w:tcBorders>
              <w:top w:val="none" w:color="000000" w:sz="4"/>
              <w:left w:val="none" w:color="000000" w:sz="4"/>
              <w:bottom w:val="single" w:color="000000" w:sz="4"/>
              <w:right w:val="single" w:color="000000" w:sz="4"/>
            </w:tcBorders>
          </w:tcPr>
          <w:p>
            <w:r>
              <w:rPr>
                <w:sz w:val="21"/>
              </w:rPr>
              <w:t>楼层周边、楼梯侧边、平台或阳台边、是否做好临边防护措施</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临边部位设置两道硬质栏杆，高度不少于1.2米</w:t>
            </w:r>
          </w:p>
        </w:tc>
      </w:tr>
      <w:tr>
        <w:tc>
          <w:tcPr>
            <w:tcW w:type="dxa" w:w="562"/>
            <w:vMerge w:val="restart"/>
            <w:tcBorders>
              <w:top w:val="none" w:color="000000" w:sz="4"/>
              <w:left w:val="single" w:color="000000" w:sz="4"/>
              <w:bottom w:val="single" w:color="000000" w:sz="4"/>
              <w:right w:val="single" w:color="000000" w:sz="4"/>
            </w:tcBorders>
          </w:tcPr>
          <w:p>
            <w:pPr>
              <w:jc w:val="center"/>
            </w:pPr>
            <w:r>
              <w:rPr>
                <w:sz w:val="21"/>
              </w:rPr>
              <w:t>五</w:t>
            </w:r>
          </w:p>
        </w:tc>
        <w:tc>
          <w:tcPr>
            <w:tcW w:type="dxa" w:w="936"/>
            <w:vMerge w:val="restart"/>
            <w:tcBorders>
              <w:top w:val="none" w:color="000000" w:sz="4"/>
              <w:left w:val="none" w:color="000000" w:sz="4"/>
              <w:bottom w:val="single" w:color="000000" w:sz="4"/>
              <w:right w:val="single" w:color="000000" w:sz="4"/>
            </w:tcBorders>
          </w:tcPr>
          <w:p>
            <w:pPr>
              <w:jc w:val="center"/>
            </w:pPr>
            <w:r>
              <w:rPr>
                <w:sz w:val="21"/>
              </w:rPr>
              <w:t>施工用电</w:t>
            </w:r>
          </w:p>
        </w:tc>
        <w:tc>
          <w:tcPr>
            <w:tcW w:type="dxa" w:w="667"/>
            <w:tcBorders>
              <w:top w:val="none" w:color="000000" w:sz="4"/>
              <w:left w:val="none" w:color="000000" w:sz="4"/>
              <w:bottom w:val="single" w:color="000000" w:sz="4"/>
              <w:right w:val="single" w:color="000000" w:sz="4"/>
            </w:tcBorders>
          </w:tcPr>
          <w:p>
            <w:pPr>
              <w:jc w:val="center"/>
            </w:pPr>
            <w:r>
              <w:rPr>
                <w:sz w:val="21"/>
              </w:rPr>
              <w:t>7</w:t>
            </w:r>
          </w:p>
        </w:tc>
        <w:tc>
          <w:tcPr>
            <w:tcW w:type="dxa" w:w="3042"/>
            <w:tcBorders>
              <w:top w:val="none" w:color="000000" w:sz="4"/>
              <w:left w:val="none" w:color="000000" w:sz="4"/>
              <w:bottom w:val="single" w:color="000000" w:sz="4"/>
              <w:right w:val="single" w:color="000000" w:sz="4"/>
            </w:tcBorders>
          </w:tcPr>
          <w:p>
            <w:r>
              <w:rPr>
                <w:sz w:val="21"/>
              </w:rPr>
              <w:t>现场机具是否符合“一机、一闸、一漏、一保护”要求</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2"/>
              </w:rPr>
              <w:t>　</w:t>
            </w:r>
          </w:p>
        </w:tc>
      </w:tr>
      <w:tr>
        <w:tc>
          <w:tcPr>
            <w:tcW w:type="dxa" w:w="562"/>
            <w:vMerge/>
            <w:tcBorders>
              <w:top w:val="none" w:color="000000" w:sz="4"/>
              <w:left w:val="singl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667"/>
            <w:tcBorders>
              <w:top w:val="none" w:color="000000" w:sz="4"/>
              <w:left w:val="none" w:color="000000" w:sz="4"/>
              <w:bottom w:val="single" w:color="000000" w:sz="4"/>
              <w:right w:val="single" w:color="000000" w:sz="4"/>
            </w:tcBorders>
          </w:tcPr>
          <w:p>
            <w:pPr>
              <w:jc w:val="center"/>
            </w:pPr>
            <w:r>
              <w:rPr>
                <w:sz w:val="21"/>
              </w:rPr>
              <w:t>8</w:t>
            </w:r>
          </w:p>
        </w:tc>
        <w:tc>
          <w:tcPr>
            <w:tcW w:type="dxa" w:w="3042"/>
            <w:tcBorders>
              <w:top w:val="none" w:color="000000" w:sz="4"/>
              <w:left w:val="none" w:color="000000" w:sz="4"/>
              <w:bottom w:val="single" w:color="000000" w:sz="4"/>
              <w:right w:val="single" w:color="000000" w:sz="4"/>
            </w:tcBorders>
          </w:tcPr>
          <w:p>
            <w:r>
              <w:rPr>
                <w:sz w:val="21"/>
              </w:rPr>
              <w:t>施工用电是否采用“三相五线”供电方式</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2"/>
              </w:rPr>
              <w:t>　</w:t>
            </w:r>
          </w:p>
        </w:tc>
      </w:tr>
      <w:tr>
        <w:tc>
          <w:tcPr>
            <w:tcW w:type="dxa" w:w="562"/>
            <w:vMerge/>
            <w:tcBorders>
              <w:top w:val="none" w:color="000000" w:sz="4"/>
              <w:left w:val="singl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667"/>
            <w:tcBorders>
              <w:top w:val="none" w:color="000000" w:sz="4"/>
              <w:left w:val="none" w:color="000000" w:sz="4"/>
              <w:bottom w:val="single" w:color="000000" w:sz="4"/>
              <w:right w:val="single" w:color="000000" w:sz="4"/>
            </w:tcBorders>
          </w:tcPr>
          <w:p>
            <w:pPr>
              <w:jc w:val="center"/>
            </w:pPr>
            <w:r>
              <w:rPr>
                <w:sz w:val="21"/>
              </w:rPr>
              <w:t>9</w:t>
            </w:r>
          </w:p>
        </w:tc>
        <w:tc>
          <w:tcPr>
            <w:tcW w:type="dxa" w:w="3042"/>
            <w:tcBorders>
              <w:top w:val="none" w:color="000000" w:sz="4"/>
              <w:left w:val="none" w:color="000000" w:sz="4"/>
              <w:bottom w:val="single" w:color="000000" w:sz="4"/>
              <w:right w:val="single" w:color="000000" w:sz="4"/>
            </w:tcBorders>
          </w:tcPr>
          <w:p>
            <w:r>
              <w:rPr>
                <w:sz w:val="21"/>
              </w:rPr>
              <w:t>施工用电是否设置保险装置，电缆是否外包套管架空拉接</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①所有线路不得拖地敷设</w:t>
            </w:r>
            <w:r>
              <w:br/>
            </w:r>
            <w:r>
              <w:rPr>
                <w:sz w:val="21"/>
              </w:rPr>
              <w:t>②利用已有金属物架空敷设必须用可靠的绝缘保护。</w:t>
            </w:r>
          </w:p>
        </w:tc>
      </w:tr>
      <w:tr>
        <w:tc>
          <w:tcPr>
            <w:tcW w:type="dxa" w:w="562"/>
            <w:vMerge w:val="restart"/>
            <w:tcBorders>
              <w:top w:val="none" w:color="000000" w:sz="4"/>
              <w:left w:val="single" w:color="000000" w:sz="4"/>
              <w:bottom w:val="single" w:color="000000" w:sz="4"/>
              <w:right w:val="single" w:color="000000" w:sz="4"/>
            </w:tcBorders>
          </w:tcPr>
          <w:p>
            <w:pPr>
              <w:jc w:val="center"/>
            </w:pPr>
            <w:r>
              <w:rPr>
                <w:sz w:val="21"/>
              </w:rPr>
              <w:t>六</w:t>
            </w:r>
          </w:p>
        </w:tc>
        <w:tc>
          <w:tcPr>
            <w:tcW w:type="dxa" w:w="936"/>
            <w:vMerge w:val="restart"/>
            <w:tcBorders>
              <w:top w:val="none" w:color="000000" w:sz="4"/>
              <w:left w:val="none" w:color="000000" w:sz="4"/>
              <w:bottom w:val="single" w:color="000000" w:sz="4"/>
              <w:right w:val="single" w:color="000000" w:sz="4"/>
            </w:tcBorders>
          </w:tcPr>
          <w:p>
            <w:pPr>
              <w:jc w:val="center"/>
            </w:pPr>
            <w:r>
              <w:rPr>
                <w:sz w:val="21"/>
              </w:rPr>
              <w:t>消防</w:t>
            </w:r>
          </w:p>
        </w:tc>
        <w:tc>
          <w:tcPr>
            <w:tcW w:type="dxa" w:w="667"/>
            <w:tcBorders>
              <w:top w:val="none" w:color="000000" w:sz="4"/>
              <w:left w:val="none" w:color="000000" w:sz="4"/>
              <w:bottom w:val="single" w:color="000000" w:sz="4"/>
              <w:right w:val="single" w:color="000000" w:sz="4"/>
            </w:tcBorders>
          </w:tcPr>
          <w:p>
            <w:pPr>
              <w:jc w:val="center"/>
            </w:pPr>
            <w:r>
              <w:rPr>
                <w:sz w:val="21"/>
              </w:rPr>
              <w:t>10</w:t>
            </w:r>
          </w:p>
        </w:tc>
        <w:tc>
          <w:tcPr>
            <w:tcW w:type="dxa" w:w="3042"/>
            <w:tcBorders>
              <w:top w:val="none" w:color="000000" w:sz="4"/>
              <w:left w:val="none" w:color="000000" w:sz="4"/>
              <w:bottom w:val="single" w:color="000000" w:sz="4"/>
              <w:right w:val="single" w:color="000000" w:sz="4"/>
            </w:tcBorders>
          </w:tcPr>
          <w:p>
            <w:r>
              <w:rPr>
                <w:sz w:val="21"/>
              </w:rPr>
              <w:t>建筑材料、设备的堆放是否阻碍邻近住户的日常通行</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需保证邻近住户的通行畅通与工地开工前一致</w:t>
            </w:r>
          </w:p>
        </w:tc>
      </w:tr>
      <w:tr>
        <w:tc>
          <w:tcPr>
            <w:tcW w:type="dxa" w:w="562"/>
            <w:vMerge/>
            <w:tcBorders>
              <w:top w:val="none" w:color="000000" w:sz="4"/>
              <w:left w:val="singl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667"/>
            <w:tcBorders>
              <w:top w:val="none" w:color="000000" w:sz="4"/>
              <w:left w:val="none" w:color="000000" w:sz="4"/>
              <w:bottom w:val="single" w:color="000000" w:sz="4"/>
              <w:right w:val="single" w:color="000000" w:sz="4"/>
            </w:tcBorders>
          </w:tcPr>
          <w:p>
            <w:pPr>
              <w:jc w:val="center"/>
            </w:pPr>
            <w:r>
              <w:rPr>
                <w:sz w:val="21"/>
              </w:rPr>
              <w:t>11</w:t>
            </w:r>
          </w:p>
        </w:tc>
        <w:tc>
          <w:tcPr>
            <w:tcW w:type="dxa" w:w="3042"/>
            <w:tcBorders>
              <w:top w:val="none" w:color="000000" w:sz="4"/>
              <w:left w:val="none" w:color="000000" w:sz="4"/>
              <w:bottom w:val="single" w:color="000000" w:sz="4"/>
              <w:right w:val="single" w:color="000000" w:sz="4"/>
            </w:tcBorders>
          </w:tcPr>
          <w:p>
            <w:r>
              <w:rPr>
                <w:sz w:val="21"/>
              </w:rPr>
              <w:t>工地内是否有电动车</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工地内禁止电动车充电</w:t>
            </w:r>
          </w:p>
        </w:tc>
      </w:tr>
      <w:tr>
        <w:tc>
          <w:tcPr>
            <w:tcW w:type="dxa" w:w="562"/>
            <w:vMerge w:val="restart"/>
            <w:tcBorders>
              <w:top w:val="none" w:color="000000" w:sz="4"/>
              <w:left w:val="single" w:color="000000" w:sz="4"/>
              <w:bottom w:val="single" w:color="000000" w:sz="4"/>
              <w:right w:val="single" w:color="000000" w:sz="4"/>
            </w:tcBorders>
          </w:tcPr>
          <w:p>
            <w:pPr>
              <w:jc w:val="center"/>
            </w:pPr>
            <w:r>
              <w:rPr>
                <w:sz w:val="21"/>
              </w:rPr>
              <w:t>七</w:t>
            </w:r>
          </w:p>
        </w:tc>
        <w:tc>
          <w:tcPr>
            <w:tcW w:type="dxa" w:w="936"/>
            <w:vMerge w:val="restart"/>
            <w:tcBorders>
              <w:top w:val="none" w:color="000000" w:sz="4"/>
              <w:left w:val="none" w:color="000000" w:sz="4"/>
              <w:bottom w:val="single" w:color="000000" w:sz="4"/>
              <w:right w:val="single" w:color="000000" w:sz="4"/>
            </w:tcBorders>
          </w:tcPr>
          <w:p>
            <w:pPr>
              <w:jc w:val="center"/>
            </w:pPr>
            <w:r>
              <w:rPr>
                <w:sz w:val="21"/>
              </w:rPr>
              <w:t>其它</w:t>
            </w:r>
          </w:p>
        </w:tc>
        <w:tc>
          <w:tcPr>
            <w:tcW w:type="dxa" w:w="667"/>
            <w:tcBorders>
              <w:top w:val="none" w:color="000000" w:sz="4"/>
              <w:left w:val="none" w:color="000000" w:sz="4"/>
              <w:bottom w:val="single" w:color="000000" w:sz="4"/>
              <w:right w:val="single" w:color="000000" w:sz="4"/>
            </w:tcBorders>
          </w:tcPr>
          <w:p>
            <w:pPr>
              <w:jc w:val="center"/>
            </w:pPr>
            <w:r>
              <w:rPr>
                <w:sz w:val="21"/>
              </w:rPr>
              <w:t>12</w:t>
            </w:r>
          </w:p>
        </w:tc>
        <w:tc>
          <w:tcPr>
            <w:tcW w:type="dxa" w:w="3042"/>
            <w:tcBorders>
              <w:top w:val="none" w:color="000000" w:sz="4"/>
              <w:left w:val="none" w:color="000000" w:sz="4"/>
              <w:bottom w:val="single" w:color="000000" w:sz="4"/>
              <w:right w:val="single" w:color="000000" w:sz="4"/>
            </w:tcBorders>
          </w:tcPr>
          <w:p>
            <w:r>
              <w:rPr>
                <w:sz w:val="21"/>
              </w:rPr>
              <w:t>工地内是否有人员留宿，特别是小孩</w:t>
            </w:r>
          </w:p>
        </w:tc>
        <w:tc>
          <w:tcPr>
            <w:tcW w:type="dxa" w:w="901"/>
            <w:tcBorders>
              <w:top w:val="none" w:color="000000" w:sz="4"/>
              <w:left w:val="none" w:color="000000" w:sz="4"/>
              <w:bottom w:val="single" w:color="000000" w:sz="4"/>
              <w:right w:val="single" w:color="000000" w:sz="4"/>
            </w:tcBorders>
          </w:tcPr>
          <w:p>
            <w:pPr>
              <w:jc w:val="center"/>
            </w:pPr>
            <w:r>
              <w:rPr>
                <w:sz w:val="21"/>
              </w:rPr>
              <w:t>□是 □否</w:t>
            </w:r>
          </w:p>
        </w:tc>
        <w:tc>
          <w:tcPr>
            <w:tcW w:type="dxa" w:w="2199"/>
            <w:tcBorders>
              <w:top w:val="none" w:color="000000" w:sz="4"/>
              <w:left w:val="none" w:color="000000" w:sz="4"/>
              <w:bottom w:val="single" w:color="000000" w:sz="4"/>
              <w:right w:val="single" w:color="000000" w:sz="4"/>
            </w:tcBorders>
          </w:tcPr>
          <w:p>
            <w:r>
              <w:rPr>
                <w:sz w:val="21"/>
              </w:rPr>
              <w:t>除必要人员外，工地内禁止人员留宿</w:t>
            </w:r>
          </w:p>
        </w:tc>
      </w:tr>
      <w:tr>
        <w:tc>
          <w:tcPr>
            <w:tcW w:type="dxa" w:w="562"/>
            <w:vMerge/>
            <w:tcBorders>
              <w:top w:val="none" w:color="000000" w:sz="4"/>
              <w:left w:val="singl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667"/>
            <w:tcBorders>
              <w:top w:val="none" w:color="000000" w:sz="4"/>
              <w:left w:val="none" w:color="000000" w:sz="4"/>
              <w:bottom w:val="single" w:color="000000" w:sz="4"/>
              <w:right w:val="single" w:color="000000" w:sz="4"/>
            </w:tcBorders>
          </w:tcPr>
          <w:p>
            <w:pPr>
              <w:jc w:val="center"/>
            </w:pPr>
            <w:r>
              <w:rPr>
                <w:sz w:val="21"/>
              </w:rPr>
              <w:t>13</w:t>
            </w:r>
          </w:p>
        </w:tc>
        <w:tc>
          <w:tcPr>
            <w:tcW w:type="dxa" w:w="3042"/>
            <w:tcBorders>
              <w:top w:val="none" w:color="000000" w:sz="4"/>
              <w:left w:val="none" w:color="000000" w:sz="4"/>
              <w:bottom w:val="single" w:color="000000" w:sz="4"/>
              <w:right w:val="single" w:color="000000" w:sz="4"/>
            </w:tcBorders>
          </w:tcPr>
          <w:p>
            <w:r>
              <w:rPr>
                <w:sz w:val="21"/>
              </w:rPr>
              <w:t>在建宅基地楼层层数（  ）层</w:t>
            </w:r>
          </w:p>
        </w:tc>
        <w:tc>
          <w:tcPr>
            <w:tcW w:type="dxa" w:w="901"/>
            <w:tcBorders>
              <w:top w:val="none" w:color="000000" w:sz="4"/>
              <w:left w:val="none" w:color="000000" w:sz="4"/>
              <w:bottom w:val="single" w:color="000000" w:sz="4"/>
              <w:right w:val="single" w:color="000000" w:sz="4"/>
            </w:tcBorders>
          </w:tcPr>
          <w:p>
            <w:pPr>
              <w:jc w:val="center"/>
            </w:pPr>
            <w:r>
              <w:rPr>
                <w:sz w:val="22"/>
              </w:rPr>
              <w:t>　</w:t>
            </w:r>
          </w:p>
        </w:tc>
        <w:tc>
          <w:tcPr>
            <w:tcW w:type="dxa" w:w="2199"/>
            <w:tcBorders>
              <w:top w:val="none" w:color="000000" w:sz="4"/>
              <w:left w:val="none" w:color="000000" w:sz="4"/>
              <w:bottom w:val="single" w:color="000000" w:sz="4"/>
              <w:right w:val="single" w:color="000000" w:sz="4"/>
            </w:tcBorders>
          </w:tcPr>
          <w:p>
            <w:r>
              <w:rPr>
                <w:sz w:val="21"/>
              </w:rPr>
              <w:t>宅基地楼层层数不得超过5层</w:t>
            </w:r>
          </w:p>
        </w:tc>
      </w:tr>
      <w:tr>
        <w:tc>
          <w:tcPr>
            <w:tcW w:type="dxa" w:w="5207"/>
            <w:gridSpan w:val="4"/>
          </w:tcPr>
          <w:p>
            <w:r>
              <w:rPr>
                <w:sz w:val="21"/>
              </w:rPr>
              <w:t>检查人员：</w:t>
            </w:r>
          </w:p>
        </w:tc>
        <w:tc>
          <w:tcPr>
            <w:tcW w:type="dxa" w:w="3100"/>
            <w:gridSpan w:val="2"/>
          </w:tcPr>
          <w:p>
            <w:r>
              <w:rPr>
                <w:sz w:val="21"/>
              </w:rPr>
              <w:t>检查时间：</w:t>
            </w:r>
          </w:p>
        </w:tc>
      </w:tr>
    </w:tbl>
    <w:p/>
    <w:p>
      <w:pPr>
        <w:ind w:firstLine="480"/>
      </w:pPr>
    </w:p>
    <w:p/>
    <w:p>
      <w:r>
        <w:rPr/>
        <w:t>采购包1（狮山镇建筑工程质量安全监督服务）：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自合同签订并生效之日起1年。</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服务期内分四期（每期3个月）结算，每期项目费用为成交金额除以12个月乘以支付的月数。第一期结算在合同签订后第1个月5日前支付3个月费用；第二期结算为合同签订后第4个月5日前支付3个月费用；如此类推。每期采购人在收到成交人项目费用的支付有关资料和有效发票后5天内把本期项目预算费用以转账结算的方式支付给成交人，如遇节假日则顺延相应天数；如成交人原因造成所投入的服务团队中每少1人，则在下期支付的项目费用中（不含车辆费用）扣除相应的费用【相应的费用=（成交金额－车辆费用﹚÷12个月×5%×缺人的月数×缺少的人数】。成交人凭以下有效文件与采购人结算：（1）合同；（2）成交人开具划拨款项等额的正式发票和提供项目发生所在地依法纳税的费用发票，有效发票必须遵循属地管理原则；（3）成交通知书。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采购人在收到成交人项目验收建议之日起7个工作日内按照合同的约定对履约情况进行验收。成交人需为验收提供必需的一切条件及相关费用，并提供本项目的相关文档和验收所需资料，积极配合采购人完成验收工作。</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本项目预算金额（最高限价）为：人民币1821000.00元。项目总费用实行总包干，费用包含项目服务团队人员工资、为员工缴纳社保、住房公积金、残疾人就业保障金、服务管理费、经济补偿金、税费、招聘费、单位缴费标准提升、国家规定依法支付给劳动者的有关费、不可预测费用。成交人必须充分考虑市场价格的调节，统筹安排好项目服务费使用，采购人将不再另支付合同金额以外的任何费用。</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狮山镇建筑工程质量安全监督服务</w:t>
            </w:r>
          </w:p>
        </w:tc>
        <w:tc>
          <w:tcPr>
            <w:tcW w:type="dxa" w:w="385"/>
          </w:tcPr>
          <w:p>
            <w:r>
              <w:rPr/>
              <w:t>项</w:t>
            </w:r>
          </w:p>
        </w:tc>
        <w:tc>
          <w:tcPr>
            <w:tcW w:type="dxa" w:w="769"/>
          </w:tcPr>
          <w:p>
            <w:pPr>
              <w:jc w:val="right"/>
            </w:pPr>
            <w:r>
              <w:rPr/>
              <w:t>1.0000</w:t>
            </w:r>
          </w:p>
        </w:tc>
        <w:tc>
          <w:tcPr>
            <w:tcW w:type="dxa" w:w="769"/>
          </w:tcPr>
          <w:p>
            <w:pPr>
              <w:jc w:val="right"/>
            </w:pPr>
            <w:r>
              <w:rPr/>
              <w:t>1,821,000.00</w:t>
            </w:r>
          </w:p>
        </w:tc>
        <w:tc>
          <w:tcPr>
            <w:tcW w:type="dxa" w:w="769"/>
          </w:tcPr>
          <w:p>
            <w:pPr>
              <w:jc w:val="right"/>
            </w:pPr>
            <w:r>
              <w:rPr/>
              <w:t>1,821,000.00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狮山镇建筑工程质量安全监督服务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服务内容：</w:t>
            </w:r>
          </w:p>
          <w:p>
            <w:r>
              <w:rPr>
                <w:sz w:val="21"/>
              </w:rPr>
              <w:t>成交人须组建人数不少于17人的服务团队，向采购人提供辖区内的建筑工程质量安全监督管理辅助性服务，工作重点是市政工程及农村居民住宅工程安全监督管理的辅助服务工作。具体服务包括：</w:t>
            </w:r>
          </w:p>
          <w:p>
            <w:r>
              <w:rPr>
                <w:sz w:val="21"/>
              </w:rPr>
              <w:t>1、成交人服务团队应根据服务类别分为3个监管小组，每小组不少于5人，并为每组配备一辆车龄在四年（含）内的五座小汽车用于开展巡查工作，合计三辆，车辆产生的所有费用由成交人负责。小组服务人员应具备建设工程安全或质量管理能力，对区域内建设工程的质量情况、安全情况、现场文明施工情况和工地扬尘等情况进行监督管理。对市政工程各工地监督管理每月不少于2次，对农村居民住宅工地监督管理每月不少于1次，对危险性较大的分部分项工程作不定期的专项监督抽查；对近一年发生过生产安全事故的施工企业承接的工程项目或抽查中发现安全隐患较多的工程项目增加抽查次数。</w:t>
            </w:r>
          </w:p>
          <w:p>
            <w:r>
              <w:rPr>
                <w:sz w:val="21"/>
              </w:rPr>
              <w:t>2、成交人服务团队应根据服务类别组建后勤小组，小组不少于2人。</w:t>
            </w:r>
          </w:p>
          <w:p>
            <w:r>
              <w:rPr>
                <w:sz w:val="21"/>
              </w:rPr>
              <w:t>小组服务人员负责建设工程的监管资料收集、汇总，每天及时向采购人报告，每月汇总形成巡查报告，并向采购人报告。</w:t>
            </w:r>
          </w:p>
          <w:p>
            <w:r>
              <w:rPr>
                <w:sz w:val="21"/>
              </w:rPr>
              <w:t>3、完成采购人交代的工作内容。</w:t>
            </w:r>
          </w:p>
        </w:tc>
      </w:tr>
      <w:tr>
        <w:tc>
          <w:tcPr>
            <w:tcW w:type="dxa" w:w="2076"/>
          </w:tcPr>
          <w:p/>
        </w:tc>
        <w:tc>
          <w:tcPr>
            <w:tcW w:type="dxa" w:w="415"/>
          </w:tcPr>
          <w:p>
            <w:r>
              <w:rPr/>
              <w:t>2</w:t>
            </w:r>
          </w:p>
        </w:tc>
        <w:tc>
          <w:tcPr>
            <w:tcW w:type="dxa" w:w="5814"/>
          </w:tcPr>
          <w:p>
            <w:pPr>
              <w:jc w:val="both"/>
            </w:pPr>
            <w:r>
              <w:rPr>
                <w:sz w:val="22"/>
              </w:rPr>
              <w:t>狮山镇在建宅基地自建房排查数量估算：</w:t>
            </w:r>
          </w:p>
          <w:tbl>
            <w:tblPr>
              <w:tblInd w:type="dxa" w:w="1140"/>
              <w:tblBorders>
                <w:top w:val="none" w:color="000000" w:sz="4"/>
                <w:left w:val="none" w:color="000000" w:sz="4"/>
                <w:bottom w:val="none" w:color="000000" w:sz="4"/>
                <w:right w:val="none" w:color="000000" w:sz="4"/>
                <w:insideH w:val="none"/>
                <w:insideV w:val="none"/>
              </w:tblBorders>
            </w:tblPr>
            <w:tblGrid>
              <w:gridCol w:w="1678"/>
              <w:gridCol w:w="2577"/>
              <w:gridCol w:w="1330"/>
            </w:tblGrid>
            <w:tr>
              <w:tc>
                <w:tcPr>
                  <w:tcW w:type="dxa" w:w="1678"/>
                  <w:tcBorders>
                    <w:top w:val="single" w:color="000000" w:sz="4"/>
                    <w:left w:val="single" w:color="000000" w:sz="4"/>
                    <w:bottom w:val="single" w:color="000000" w:sz="4"/>
                    <w:right w:val="single" w:color="000000" w:sz="4"/>
                  </w:tcBorders>
                </w:tcPr>
                <w:p>
                  <w:pPr>
                    <w:jc w:val="center"/>
                  </w:pPr>
                  <w:r>
                    <w:rPr>
                      <w:sz w:val="21"/>
                    </w:rPr>
                    <w:t>序号</w:t>
                  </w:r>
                </w:p>
              </w:tc>
              <w:tc>
                <w:tcPr>
                  <w:tcW w:type="dxa" w:w="2577"/>
                  <w:tcBorders>
                    <w:top w:val="single" w:color="000000" w:sz="4"/>
                    <w:left w:val="none" w:color="000000" w:sz="4"/>
                    <w:bottom w:val="single" w:color="000000" w:sz="4"/>
                    <w:right w:val="single" w:color="000000" w:sz="4"/>
                  </w:tcBorders>
                </w:tcPr>
                <w:p>
                  <w:pPr>
                    <w:jc w:val="center"/>
                  </w:pPr>
                  <w:r>
                    <w:rPr>
                      <w:sz w:val="21"/>
                    </w:rPr>
                    <w:t>片区</w:t>
                  </w:r>
                </w:p>
              </w:tc>
              <w:tc>
                <w:tcPr>
                  <w:tcW w:type="dxa" w:w="1330"/>
                  <w:tcBorders>
                    <w:top w:val="single" w:color="000000" w:sz="4"/>
                    <w:left w:val="none" w:color="000000" w:sz="4"/>
                    <w:bottom w:val="single" w:color="000000" w:sz="4"/>
                    <w:right w:val="single" w:color="000000" w:sz="4"/>
                  </w:tcBorders>
                </w:tcPr>
                <w:p>
                  <w:pPr>
                    <w:jc w:val="center"/>
                  </w:pPr>
                  <w:r>
                    <w:rPr>
                      <w:sz w:val="21"/>
                    </w:rPr>
                    <w:t>数量</w:t>
                  </w:r>
                </w:p>
              </w:tc>
            </w:tr>
            <w:tr>
              <w:tc>
                <w:tcPr>
                  <w:tcW w:type="dxa" w:w="1678"/>
                  <w:tcBorders>
                    <w:top w:val="none" w:color="000000" w:sz="4"/>
                    <w:left w:val="single" w:color="000000" w:sz="4"/>
                    <w:bottom w:val="single" w:color="000000" w:sz="4"/>
                    <w:right w:val="single" w:color="000000" w:sz="4"/>
                  </w:tcBorders>
                </w:tcPr>
                <w:p>
                  <w:pPr>
                    <w:jc w:val="center"/>
                  </w:pPr>
                  <w:r>
                    <w:rPr>
                      <w:sz w:val="21"/>
                    </w:rPr>
                    <w:t>1</w:t>
                  </w:r>
                </w:p>
              </w:tc>
              <w:tc>
                <w:tcPr>
                  <w:tcW w:type="dxa" w:w="2577"/>
                  <w:tcBorders>
                    <w:top w:val="none" w:color="000000" w:sz="4"/>
                    <w:left w:val="none" w:color="000000" w:sz="4"/>
                    <w:bottom w:val="single" w:color="000000" w:sz="4"/>
                    <w:right w:val="single" w:color="000000" w:sz="4"/>
                  </w:tcBorders>
                </w:tcPr>
                <w:p>
                  <w:pPr>
                    <w:jc w:val="center"/>
                  </w:pPr>
                  <w:r>
                    <w:rPr>
                      <w:sz w:val="21"/>
                    </w:rPr>
                    <w:t>官窑</w:t>
                  </w:r>
                </w:p>
              </w:tc>
              <w:tc>
                <w:tcPr>
                  <w:tcW w:type="dxa" w:w="1330"/>
                  <w:tcBorders>
                    <w:top w:val="none" w:color="000000" w:sz="4"/>
                    <w:left w:val="none" w:color="000000" w:sz="4"/>
                    <w:bottom w:val="single" w:color="000000" w:sz="4"/>
                    <w:right w:val="single" w:color="000000" w:sz="4"/>
                  </w:tcBorders>
                </w:tcPr>
                <w:p>
                  <w:pPr>
                    <w:jc w:val="center"/>
                  </w:pPr>
                  <w:r>
                    <w:rPr>
                      <w:sz w:val="21"/>
                    </w:rPr>
                    <w:t>300间</w:t>
                  </w:r>
                </w:p>
              </w:tc>
            </w:tr>
            <w:tr>
              <w:tc>
                <w:tcPr>
                  <w:tcW w:type="dxa" w:w="1678"/>
                  <w:tcBorders>
                    <w:top w:val="none" w:color="000000" w:sz="4"/>
                    <w:left w:val="single" w:color="000000" w:sz="4"/>
                    <w:bottom w:val="single" w:color="000000" w:sz="4"/>
                    <w:right w:val="single" w:color="000000" w:sz="4"/>
                  </w:tcBorders>
                </w:tcPr>
                <w:p>
                  <w:pPr>
                    <w:jc w:val="center"/>
                  </w:pPr>
                  <w:r>
                    <w:rPr>
                      <w:sz w:val="21"/>
                    </w:rPr>
                    <w:t>2</w:t>
                  </w:r>
                </w:p>
              </w:tc>
              <w:tc>
                <w:tcPr>
                  <w:tcW w:type="dxa" w:w="2577"/>
                  <w:tcBorders>
                    <w:top w:val="none" w:color="000000" w:sz="4"/>
                    <w:left w:val="none" w:color="000000" w:sz="4"/>
                    <w:bottom w:val="single" w:color="000000" w:sz="4"/>
                    <w:right w:val="single" w:color="000000" w:sz="4"/>
                  </w:tcBorders>
                </w:tcPr>
                <w:p>
                  <w:pPr>
                    <w:jc w:val="center"/>
                  </w:pPr>
                  <w:r>
                    <w:rPr>
                      <w:sz w:val="21"/>
                    </w:rPr>
                    <w:t>罗村</w:t>
                  </w:r>
                </w:p>
              </w:tc>
              <w:tc>
                <w:tcPr>
                  <w:tcW w:type="dxa" w:w="1330"/>
                  <w:tcBorders>
                    <w:top w:val="none" w:color="000000" w:sz="4"/>
                    <w:left w:val="none" w:color="000000" w:sz="4"/>
                    <w:bottom w:val="single" w:color="000000" w:sz="4"/>
                    <w:right w:val="single" w:color="000000" w:sz="4"/>
                  </w:tcBorders>
                </w:tcPr>
                <w:p>
                  <w:pPr>
                    <w:jc w:val="center"/>
                  </w:pPr>
                  <w:r>
                    <w:rPr>
                      <w:sz w:val="21"/>
                    </w:rPr>
                    <w:t>200间</w:t>
                  </w:r>
                </w:p>
              </w:tc>
            </w:tr>
            <w:tr>
              <w:tc>
                <w:tcPr>
                  <w:tcW w:type="dxa" w:w="1678"/>
                  <w:tcBorders>
                    <w:top w:val="none" w:color="000000" w:sz="4"/>
                    <w:left w:val="single" w:color="000000" w:sz="4"/>
                    <w:bottom w:val="single" w:color="000000" w:sz="4"/>
                    <w:right w:val="single" w:color="000000" w:sz="4"/>
                  </w:tcBorders>
                </w:tcPr>
                <w:p>
                  <w:pPr>
                    <w:jc w:val="center"/>
                  </w:pPr>
                  <w:r>
                    <w:rPr>
                      <w:sz w:val="21"/>
                    </w:rPr>
                    <w:t>3</w:t>
                  </w:r>
                </w:p>
              </w:tc>
              <w:tc>
                <w:tcPr>
                  <w:tcW w:type="dxa" w:w="2577"/>
                  <w:tcBorders>
                    <w:top w:val="none" w:color="000000" w:sz="4"/>
                    <w:left w:val="none" w:color="000000" w:sz="4"/>
                    <w:bottom w:val="single" w:color="000000" w:sz="4"/>
                    <w:right w:val="single" w:color="000000" w:sz="4"/>
                  </w:tcBorders>
                </w:tcPr>
                <w:p>
                  <w:pPr>
                    <w:jc w:val="center"/>
                  </w:pPr>
                  <w:r>
                    <w:rPr>
                      <w:sz w:val="21"/>
                    </w:rPr>
                    <w:t>大圃</w:t>
                  </w:r>
                </w:p>
              </w:tc>
              <w:tc>
                <w:tcPr>
                  <w:tcW w:type="dxa" w:w="1330"/>
                  <w:tcBorders>
                    <w:top w:val="none" w:color="000000" w:sz="4"/>
                    <w:left w:val="none" w:color="000000" w:sz="4"/>
                    <w:bottom w:val="single" w:color="000000" w:sz="4"/>
                    <w:right w:val="single" w:color="000000" w:sz="4"/>
                  </w:tcBorders>
                </w:tcPr>
                <w:p>
                  <w:pPr>
                    <w:jc w:val="center"/>
                  </w:pPr>
                  <w:r>
                    <w:rPr>
                      <w:sz w:val="21"/>
                    </w:rPr>
                    <w:t>200间</w:t>
                  </w:r>
                </w:p>
              </w:tc>
            </w:tr>
            <w:tr>
              <w:tc>
                <w:tcPr>
                  <w:tcW w:type="dxa" w:w="1678"/>
                  <w:tcBorders>
                    <w:top w:val="none" w:color="000000" w:sz="4"/>
                    <w:left w:val="single" w:color="000000" w:sz="4"/>
                    <w:bottom w:val="single" w:color="000000" w:sz="4"/>
                    <w:right w:val="single" w:color="000000" w:sz="4"/>
                  </w:tcBorders>
                </w:tcPr>
                <w:p>
                  <w:pPr>
                    <w:jc w:val="center"/>
                  </w:pPr>
                  <w:r>
                    <w:rPr>
                      <w:sz w:val="21"/>
                    </w:rPr>
                    <w:t>4</w:t>
                  </w:r>
                </w:p>
              </w:tc>
              <w:tc>
                <w:tcPr>
                  <w:tcW w:type="dxa" w:w="2577"/>
                  <w:tcBorders>
                    <w:top w:val="none" w:color="000000" w:sz="4"/>
                    <w:left w:val="none" w:color="000000" w:sz="4"/>
                    <w:bottom w:val="single" w:color="000000" w:sz="4"/>
                    <w:right w:val="single" w:color="000000" w:sz="4"/>
                  </w:tcBorders>
                </w:tcPr>
                <w:p>
                  <w:pPr>
                    <w:jc w:val="center"/>
                  </w:pPr>
                  <w:r>
                    <w:rPr>
                      <w:sz w:val="21"/>
                    </w:rPr>
                    <w:t>小塘</w:t>
                  </w:r>
                </w:p>
              </w:tc>
              <w:tc>
                <w:tcPr>
                  <w:tcW w:type="dxa" w:w="1330"/>
                  <w:tcBorders>
                    <w:top w:val="none" w:color="000000" w:sz="4"/>
                    <w:left w:val="none" w:color="000000" w:sz="4"/>
                    <w:bottom w:val="single" w:color="000000" w:sz="4"/>
                    <w:right w:val="single" w:color="000000" w:sz="4"/>
                  </w:tcBorders>
                </w:tcPr>
                <w:p>
                  <w:pPr>
                    <w:jc w:val="center"/>
                  </w:pPr>
                  <w:r>
                    <w:rPr>
                      <w:sz w:val="21"/>
                    </w:rPr>
                    <w:t>200间</w:t>
                  </w:r>
                </w:p>
              </w:tc>
            </w:tr>
          </w:tbl>
        </w:tc>
      </w:tr>
      <w:tr>
        <w:tc>
          <w:tcPr>
            <w:tcW w:type="dxa" w:w="2076"/>
          </w:tcPr>
          <w:p/>
        </w:tc>
        <w:tc>
          <w:tcPr>
            <w:tcW w:type="dxa" w:w="415"/>
          </w:tcPr>
          <w:p>
            <w:r>
              <w:rPr/>
              <w:t>3</w:t>
            </w:r>
          </w:p>
        </w:tc>
        <w:tc>
          <w:tcPr>
            <w:tcW w:type="dxa" w:w="5814"/>
          </w:tcPr>
          <w:p>
            <w:r>
              <w:rPr>
                <w:sz w:val="21"/>
              </w:rPr>
              <w:t>辅助监控人员隶属关系、日常工作开展及考核制度：</w:t>
            </w:r>
          </w:p>
          <w:p>
            <w:r>
              <w:rPr>
                <w:sz w:val="21"/>
              </w:rPr>
              <w:t>（一）辅助监管人员隶属关系</w:t>
            </w:r>
          </w:p>
          <w:p>
            <w:r>
              <w:rPr>
                <w:sz w:val="21"/>
              </w:rPr>
              <w:t>1.辅助监管人员为采购人购买的全职服务人员、日常工作安排以采购人决定为准。合同执行期间不负责原公司工作。</w:t>
            </w:r>
          </w:p>
          <w:p>
            <w:r>
              <w:rPr>
                <w:sz w:val="21"/>
              </w:rPr>
              <w:t>2.各组设项目主管（组长）一名，负责所属人员日常管理，根据领导安排和合同规定以周为单位制定工作计划、人员安排，督导指挥所属人员按时完成任务。</w:t>
            </w:r>
          </w:p>
          <w:p>
            <w:r>
              <w:rPr>
                <w:sz w:val="21"/>
              </w:rPr>
              <w:t>3.各组设信息员一名，负责每周工作情况汇总、上报、考核，及其他领导交办的工作。</w:t>
            </w:r>
          </w:p>
          <w:p>
            <w:r>
              <w:rPr>
                <w:sz w:val="21"/>
              </w:rPr>
              <w:t>（二）日常工作开展</w:t>
            </w:r>
          </w:p>
          <w:p>
            <w:r>
              <w:rPr>
                <w:sz w:val="21"/>
              </w:rPr>
              <w:t>1.各组除完成日常巡查计划外，还应完成领导交办的其他任务。</w:t>
            </w:r>
          </w:p>
          <w:p>
            <w:r>
              <w:rPr>
                <w:sz w:val="21"/>
              </w:rPr>
              <w:t>2.各组长以每周为单位制定所属人员工作计划，报所属领导批注后，于前一周四汇总至信息员处备案。同时将经领导审定后的上一周工作完成小结情况一并上报。</w:t>
            </w:r>
          </w:p>
          <w:p>
            <w:r>
              <w:rPr>
                <w:sz w:val="21"/>
              </w:rPr>
              <w:t>3.从事建筑工程巡查：</w:t>
            </w:r>
          </w:p>
          <w:p>
            <w:r>
              <w:rPr>
                <w:sz w:val="21"/>
              </w:rPr>
              <w:t>（1）巡查必须两人或两人以上一组，不得单人执行。巡查人员必须随身佩戴狮山镇城建和水利办盖章的专项工作证件，并主动出示。</w:t>
            </w:r>
          </w:p>
          <w:p>
            <w:r>
              <w:rPr>
                <w:sz w:val="21"/>
              </w:rPr>
              <w:t>（2）巡查人员必须对每个巡查工地逐项填写《狮山镇农村宅基地个人自建房检查表》（详见附件1)。</w:t>
            </w:r>
          </w:p>
          <w:p>
            <w:r>
              <w:rPr>
                <w:sz w:val="21"/>
              </w:rPr>
              <w:t>（3）进行工地巡查时必须现场采用“今日水印相机”等软件进行拍照留证。</w:t>
            </w:r>
          </w:p>
          <w:p>
            <w:r>
              <w:rPr>
                <w:sz w:val="21"/>
              </w:rPr>
              <w:t>（4）对上级下发的“工单”所列问题进行排查，并及时回复。</w:t>
            </w:r>
          </w:p>
          <w:p>
            <w:r>
              <w:rPr>
                <w:sz w:val="21"/>
              </w:rPr>
              <w:t>（5）每次巡查结束后应及时将巡查表交与对应信息员汇总。信息员应及时完成扫描巡查表归档，制成电子工作日志和制作巡查统计表。</w:t>
            </w:r>
          </w:p>
          <w:p>
            <w:r>
              <w:rPr>
                <w:sz w:val="21"/>
              </w:rPr>
              <w:t>（6）对巡查过程中发现违规情况，现场指出、详细拍照登记、并督促整改。对发现的违法线索，应第一时间拍照留存并通过本组组长与对应执法人员联系及时处理。</w:t>
            </w:r>
          </w:p>
          <w:p>
            <w:r>
              <w:rPr>
                <w:sz w:val="21"/>
              </w:rPr>
              <w:t>（7）城建和水利办组织随机对上周巡查工作进行抽查，主要考核巡查工作是否发现了问题，是否有走过程的现场。</w:t>
            </w:r>
          </w:p>
          <w:p>
            <w:r>
              <w:rPr>
                <w:sz w:val="21"/>
              </w:rPr>
              <w:t>（三）考核制度</w:t>
            </w:r>
          </w:p>
          <w:p>
            <w:r>
              <w:rPr>
                <w:sz w:val="21"/>
              </w:rPr>
              <w:t>1.考核工作每月进行一次。</w:t>
            </w:r>
          </w:p>
          <w:p>
            <w:r>
              <w:rPr>
                <w:sz w:val="21"/>
              </w:rPr>
              <w:t>2.考核佐证材料：月工作规划、周工作计划、周工作小结、月工作总结；电子工作日志、汇总表；抽查情况、发现违规问题及时整改情况；发现违法问题线索及处理情况。</w:t>
            </w:r>
          </w:p>
        </w:tc>
      </w:tr>
      <w:tr>
        <w:tc>
          <w:tcPr>
            <w:tcW w:type="dxa" w:w="2076"/>
          </w:tcPr>
          <w:p/>
        </w:tc>
        <w:tc>
          <w:tcPr>
            <w:tcW w:type="dxa" w:w="415"/>
          </w:tcPr>
          <w:p>
            <w:r>
              <w:rPr/>
              <w:t>4</w:t>
            </w:r>
          </w:p>
        </w:tc>
        <w:tc>
          <w:tcPr>
            <w:tcW w:type="dxa" w:w="5814"/>
          </w:tcPr>
          <w:p>
            <w:r>
              <w:rPr>
                <w:sz w:val="21"/>
              </w:rPr>
              <w:t>服务质量</w:t>
            </w:r>
          </w:p>
          <w:p>
            <w:r>
              <w:rPr>
                <w:sz w:val="21"/>
              </w:rPr>
              <w:t>1、现场施工安全、文明施工和工地扬尘情况监管标准，参考建筑施工安全检查标准（JGJ59-2011）执行；市政工程施工安全检查标准，按（CJJ/T 275-2018）及有关部门文件规定执行。</w:t>
            </w:r>
          </w:p>
          <w:p>
            <w:r>
              <w:rPr>
                <w:sz w:val="21"/>
              </w:rPr>
              <w:t>2、服务人员对相关工作要精准理解和掌握，做到精准服务不出差错，保证按时按质按量完成工作任务，做到采购人满意。</w:t>
            </w:r>
          </w:p>
          <w:p>
            <w:r>
              <w:rPr>
                <w:sz w:val="21"/>
              </w:rPr>
              <w:t>3、严格遵守采购人规章制度和工作纪律。</w:t>
            </w:r>
          </w:p>
          <w:p>
            <w:r>
              <w:rPr>
                <w:sz w:val="21"/>
              </w:rPr>
              <w:t>4、监管小组服务人员若不按照项目相关规定执行或不按照采购人要求提供服务的，经教育拒不改正的，采购人有权依法要求成交人更换人员。</w:t>
            </w:r>
          </w:p>
        </w:tc>
      </w:tr>
      <w:tr>
        <w:tc>
          <w:tcPr>
            <w:tcW w:type="dxa" w:w="2076"/>
          </w:tcPr>
          <w:p/>
        </w:tc>
        <w:tc>
          <w:tcPr>
            <w:tcW w:type="dxa" w:w="415"/>
          </w:tcPr>
          <w:p>
            <w:r>
              <w:rPr/>
              <w:t>5</w:t>
            </w:r>
          </w:p>
        </w:tc>
        <w:tc>
          <w:tcPr>
            <w:tcW w:type="dxa" w:w="5814"/>
          </w:tcPr>
          <w:p>
            <w:r>
              <w:rPr>
                <w:sz w:val="21"/>
              </w:rPr>
              <w:t>成交人职责：</w:t>
            </w:r>
          </w:p>
          <w:p>
            <w:r>
              <w:rPr>
                <w:sz w:val="21"/>
              </w:rPr>
              <w:t>1、按照合同约定的服务内容、服务数量、服务质量提供服务。在项目的实施过程中，成交人要安排优秀的服务人员提供服务，对项目的服务工作要进行跟踪管理，服务项目不得转让其他主体。</w:t>
            </w:r>
          </w:p>
          <w:p>
            <w:r>
              <w:rPr>
                <w:sz w:val="21"/>
              </w:rPr>
              <w:t>2、建立政府购买服务台账，依照有关规定或约定记录保存并向釆购人提供项目实施相关重要资料信息，包括但不仅限于服务人员个人档案。</w:t>
            </w:r>
          </w:p>
          <w:p>
            <w:r>
              <w:rPr>
                <w:sz w:val="21"/>
              </w:rPr>
              <w:t>3、成交人应在采购人的总体指导下开展工作，严格遵守釆购人相关制度，工作规范，规范各项管理，接受釆购人监督检查与绩效评价。</w:t>
            </w:r>
          </w:p>
          <w:p>
            <w:r>
              <w:rPr>
                <w:sz w:val="21"/>
              </w:rPr>
              <w:t>4、按照合同约定向采购人收取服务款项。</w:t>
            </w:r>
          </w:p>
          <w:p>
            <w:r>
              <w:rPr>
                <w:sz w:val="21"/>
              </w:rPr>
              <w:t>5、服务团队人员要求：</w:t>
            </w:r>
          </w:p>
          <w:p>
            <w:r>
              <w:rPr>
                <w:sz w:val="21"/>
              </w:rPr>
              <w:t>服务团队人员17人，从合同生效之日起10日内全部岗位要满员到岗。</w:t>
            </w:r>
          </w:p>
          <w:p>
            <w:r>
              <w:rPr>
                <w:sz w:val="21"/>
              </w:rPr>
              <w:t>（1）品行端正，诚实守信，遵纪守法，作风正派，有较强的工作责任心；</w:t>
            </w:r>
          </w:p>
          <w:p>
            <w:r>
              <w:rPr>
                <w:sz w:val="21"/>
              </w:rPr>
              <w:t>（2）身体健康，无传染性、精神性、不可治愈性以及其它严重疾病，能坚持正常工作；一般应当年满20周岁并不超过35周岁，证件齐全，未违反国家计划生育政策，获得专业技术职称的可放宽到45岁；</w:t>
            </w:r>
          </w:p>
          <w:p>
            <w:r>
              <w:rPr>
                <w:sz w:val="21"/>
              </w:rPr>
              <w:t>（3）一般要求本科及以上学历，具有建筑工程管理类、中文法律类等相关专业，能履行职责并胜任本岗位工作；</w:t>
            </w:r>
          </w:p>
          <w:p>
            <w:r>
              <w:rPr>
                <w:sz w:val="21"/>
              </w:rPr>
              <w:t>（4）具有一定的口头和文字表达能力以及计算机操作技能；</w:t>
            </w:r>
          </w:p>
          <w:p>
            <w:r>
              <w:rPr>
                <w:sz w:val="21"/>
              </w:rPr>
              <w:t>（5）与第三方不存在劳动、人事关系。</w:t>
            </w:r>
          </w:p>
          <w:p>
            <w:r>
              <w:rPr>
                <w:sz w:val="21"/>
              </w:rPr>
              <w:t>6、组织管理：</w:t>
            </w:r>
          </w:p>
          <w:p>
            <w:r>
              <w:rPr>
                <w:sz w:val="21"/>
              </w:rPr>
              <w:t>（1）成交人服务团队人员政治和业务素质符合项目条件要求，社会服务工作业绩突出，工作积极向上。中标人项目管理人员要具有社会服务管理工作经验，加强对项目服务的跟踪管理和监督，确保服务工作的正常实施。</w:t>
            </w:r>
          </w:p>
          <w:p>
            <w:r>
              <w:rPr>
                <w:sz w:val="21"/>
              </w:rPr>
              <w:t>（2）成交人要严格执行项目服务的考勤制度，服务人员不得擅离工作岗位，不允许缺人缺岗，如因服务人员离职造成人员不足时，成交人应及时与釆购人沟通，并采取补救措施，及时补充合格替代人选，保证项目服务的连续性。</w:t>
            </w:r>
          </w:p>
          <w:p>
            <w:r>
              <w:rPr>
                <w:sz w:val="21"/>
              </w:rPr>
              <w:t>（3）成交人的服务体系和服务组织管理架构，必须适应本项目服务需求，必须具有提供社会服务的保障能力，法治文化建设基础好，有良好的社会服务基础，履约能力强。企业内部的组织架构健全，或应建立党支部和工会组织，加强对项目服务的领导核心和保障力量。日常的各项服务及管理应在响应文件提交的方案中体现。</w:t>
            </w:r>
          </w:p>
          <w:p>
            <w:r>
              <w:rPr>
                <w:sz w:val="21"/>
              </w:rPr>
              <w:t>（4）成交人必须严格遵照国家有关法律、法规、规章和规定的要求，与服务团队人员签订劳动合同，建立劳动关系，为其缴纳各种社会保险和住房公积金。有关服务人员的工作时间和休息、休假、工资福利等按国家规定执行，保障服务人员合法权益，建立和谐的劳动关系。</w:t>
            </w:r>
          </w:p>
          <w:p>
            <w:r>
              <w:rPr>
                <w:sz w:val="21"/>
              </w:rPr>
              <w:t>（5）项目服务工作必须贯彻执行国家“安全第一”的政策，成交人必须有一定的安全工作管理能力和工作经验，确保项目人身安全。成交人要安排具有安全培训资质的管理人员对项目服务人员进行安全培训教育，防止和避免工伤事故发生。如在项目实施过程中发生工伤事故，由成交人依法向有关部门申报和进行善后处理。</w:t>
            </w:r>
          </w:p>
          <w:p>
            <w:r>
              <w:rPr>
                <w:sz w:val="21"/>
              </w:rPr>
              <w:t>（6）成交人服务团队在提供服务前，需向采购人提供相关人员的信息资料（含身份证、学历等信息）备案，未经采购人同意，不得擅自进入服务场所。服务团队人员如需变更或暂离岗位的，成交人应提前15天以书面形式告知采购人，并经采购人同意。如采购人认为服务团队人员不能适应工作要求的，中标人需及时进行更换。</w:t>
            </w:r>
          </w:p>
          <w:p>
            <w:r>
              <w:rPr>
                <w:sz w:val="21"/>
              </w:rPr>
              <w:t>（7）成交人因履行服务合同与采购人以外的第三方发生的任何纠纷，由成交人承担相应责任，与采购人无关。未经采购人同意，成交人不得将服务项目发包或转包他人，否则将视为成交人违约，采购人可以单方面解除合同。</w:t>
            </w:r>
          </w:p>
          <w:p>
            <w:r>
              <w:rPr>
                <w:sz w:val="21"/>
              </w:rPr>
              <w:t>（8）成交人应做好服务人员的组织和管理，要求派驻的服务人员坚守岗位、履行职责、依法依规、保守采购人项目工作机密，维护采购人的合法权益。</w:t>
            </w:r>
          </w:p>
          <w:p>
            <w:r>
              <w:rPr>
                <w:sz w:val="21"/>
              </w:rPr>
              <w:t>（9）采购人有权对成交人不规范的服务行为作出责令整改，成交人必须积极配合。</w:t>
            </w:r>
          </w:p>
          <w:p>
            <w:r>
              <w:rPr>
                <w:sz w:val="21"/>
              </w:rPr>
              <w:t>（10）成交人必须完成采购人交办的有关事项。</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1.采购代理机构：本项目是指佛山市伟源招标代理有限公司，负责整个采购活动的组织，依法负责编制和发布磋商文件，对磋商文件拥有最终的解释权，不以任何身份出任磋商小组成员。</w:t>
      </w:r>
    </w:p>
    <w:p>
      <w:pPr>
        <w:ind w:firstLine="480"/>
      </w:pPr>
      <w:r>
        <w:rPr/>
        <w:t>2.采购人：本项目是指</w:t>
      </w:r>
      <w:r>
        <w:rPr/>
        <w:t>佛山市南海区狮山镇城建和水利办公室</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以成交金额作为招标代理服务费的计算基数。招标代理服务费收费采用差额定率累进法计算方式。按中华人民共和国国家发展计划委员会颁发的计价格[2002]1980号、国家发改委[2003]857号及发改价格[2011]534号文规定的“服务类”计算。</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
            <w:pPr>
              <w:jc w:val="left"/>
            </w:pPr>
          </w:p>
          <w:p>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成交供应商的响应文件内容，接受社会公众监督，供应商递交响应文件后视为已作出以下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秘密和其他不可公开的内容。 （三）采购标的对应的中小企业划分标准所属行业：其他未列明行业。 依据《政府采购促进中小企业发展管理办法》规定享受扶持政策获得政府采购合同的，小微企业不得将合同分包给大中型企业，中型企业不得将合同分包给大型企业。  采购标的对应的中小企业划分标准：从业人员300人以下的为中小微型企业。其中，从业人员100人及以上的为中型企业；从业人员10人及以上的为小型企业；从业人员10人以下的为微型企业。 （四）磋商过程中，若磋商小组对采购需求中的技术、服务要求以及合同草案条款没有变动，响应供应商视为已作出以下承诺：承诺针对本项目采购需求中的技术、服务要求以及合同草案条款的响应不需要进行修改。</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；请各供应商在响应文件递交截止时间前按须知前附表规定的金额递交至</w:t>
      </w:r>
      <w:r>
        <w:rPr/>
        <w:t>佛山市伟源招标代理有限公司</w:t>
      </w:r>
      <w:r>
        <w:rPr/>
        <w:t>，到账情况以开启时</w:t>
      </w:r>
      <w:r>
        <w:rPr/>
        <w:t>佛山市伟源招标代理有限公司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址：佛山巿南海区桂城街道南新三路20号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狮山镇建筑工程质量安全监督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佛山市伟源招标代理有限公司</w:t>
      </w:r>
      <w:r>
        <w:rPr/>
        <w:t>统一对外发布。</w:t>
      </w:r>
    </w:p>
    <w:p>
      <w:pPr>
        <w:ind w:firstLine="480"/>
      </w:pPr>
      <w:r>
        <w:rPr/>
        <w:t>（2）对</w:t>
      </w:r>
      <w:r>
        <w:rPr/>
        <w:t>佛山市伟源招标代理有限公司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采购包1（狮山镇建筑工程质量安全监督服务）：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采购包1（狮山镇建筑工程质量安全监督服务）：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供应商必须具有良好的商业信誉和健全的财务会计制度（提供2020年度或2021年度经审计财务状况报告或基本开户行出具的资信证明或财政部门认可的政府采购专业担保机构出具的投标担保函）。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供应商须符合本项目采购标的对应行业（本项目行业为：其他未列明行业）的政策划分标准。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采购包1（狮山镇建筑工程质量安全监督服务）：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最终报价总金额是固定价且是唯一的，未超过本项目采购预算。</w:t>
            </w:r>
          </w:p>
        </w:tc>
        <w:tc>
          <w:tcPr>
            <w:tcW w:type="dxa" w:w="4238"/>
          </w:tcPr>
          <w:p>
            <w:r>
              <w:rPr/>
              <w:t>最终报价总金额是固定价且是唯一的，未超过本项目采购预算。</w:t>
            </w:r>
          </w:p>
        </w:tc>
      </w:tr>
      <w:tr>
        <w:tc>
          <w:tcPr>
            <w:tcW w:type="dxa" w:w="890"/>
          </w:tcPr>
          <w:p>
            <w:r>
              <w:rPr/>
              <w:t>2</w:t>
            </w:r>
          </w:p>
        </w:tc>
        <w:tc>
          <w:tcPr>
            <w:tcW w:type="dxa" w:w="3178"/>
          </w:tcPr>
          <w:p>
            <w:r>
              <w:rPr/>
              <w:t>提交响应承诺函。响应文件完整，投标内容基本完整，无重大错漏，并按要求填写、签署、盖章。</w:t>
            </w:r>
          </w:p>
        </w:tc>
        <w:tc>
          <w:tcPr>
            <w:tcW w:type="dxa" w:w="4238"/>
          </w:tcPr>
          <w:p>
            <w:r>
              <w:rPr/>
              <w:t>提交响应承诺函。响应文件完整，投标内容基本完整，无重大错漏，并按要求填写、签署、盖章。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“★”号条款满足磋商文件要求。</w:t>
            </w:r>
          </w:p>
        </w:tc>
        <w:tc>
          <w:tcPr>
            <w:tcW w:type="dxa" w:w="4238"/>
          </w:tcPr>
          <w:p>
            <w:r>
              <w:rPr/>
              <w:t>“★”号条款满足磋商文件要求。</w:t>
            </w:r>
          </w:p>
        </w:tc>
      </w:tr>
      <w:tr>
        <w:tc>
          <w:tcPr>
            <w:tcW w:type="dxa" w:w="890"/>
          </w:tcPr>
          <w:p>
            <w:r>
              <w:rPr/>
              <w:t>5</w:t>
            </w:r>
          </w:p>
        </w:tc>
        <w:tc>
          <w:tcPr>
            <w:tcW w:type="dxa" w:w="3178"/>
          </w:tcPr>
          <w:p>
            <w:r>
              <w:rPr/>
              <w:t>投标有效期为投标截止日起至少90天。</w:t>
            </w:r>
          </w:p>
        </w:tc>
        <w:tc>
          <w:tcPr>
            <w:tcW w:type="dxa" w:w="4238"/>
          </w:tcPr>
          <w:p>
            <w:r>
              <w:rPr/>
              <w:t>投标有效期为投标截止日起至少90天。</w:t>
            </w:r>
          </w:p>
        </w:tc>
      </w:tr>
      <w:tr>
        <w:tc>
          <w:tcPr>
            <w:tcW w:type="dxa" w:w="890"/>
          </w:tcPr>
          <w:p>
            <w:r>
              <w:rPr/>
              <w:t>6</w:t>
            </w:r>
          </w:p>
        </w:tc>
        <w:tc>
          <w:tcPr>
            <w:tcW w:type="dxa" w:w="3178"/>
          </w:tcPr>
          <w:p>
            <w:r>
              <w:rPr/>
              <w:t>响应文件未含有采购人不可接受的附加条件。</w:t>
            </w:r>
          </w:p>
        </w:tc>
        <w:tc>
          <w:tcPr>
            <w:tcW w:type="dxa" w:w="4238"/>
          </w:tcPr>
          <w:p>
            <w:r>
              <w:rPr/>
              <w:t>响应文件未含有采购人不可接受的附加条件。</w:t>
            </w:r>
          </w:p>
        </w:tc>
      </w:tr>
      <w:tr>
        <w:tc>
          <w:tcPr>
            <w:tcW w:type="dxa" w:w="890"/>
          </w:tcPr>
          <w:p>
            <w:r>
              <w:rPr/>
              <w:t>7</w:t>
            </w:r>
          </w:p>
        </w:tc>
        <w:tc>
          <w:tcPr>
            <w:tcW w:type="dxa" w:w="3178"/>
          </w:tcPr>
          <w:p>
            <w:r>
              <w:rPr/>
              <w:t>响应文件没有磋商文件中规定的其它无效投标条款的。</w:t>
            </w:r>
          </w:p>
        </w:tc>
        <w:tc>
          <w:tcPr>
            <w:tcW w:type="dxa" w:w="4238"/>
          </w:tcPr>
          <w:p>
            <w:r>
              <w:rPr/>
              <w:t>响应文件没有磋商文件中规定的其它无效投标条款的。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狮山镇建筑工程质量安全监督服务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技术部分40.0分</w:t>
            </w:r>
          </w:p>
          <w:p>
            <w:r>
              <w:rPr/>
              <w:t>报价得分20.0分</w:t>
            </w:r>
          </w:p>
        </w:tc>
      </w:tr>
      <w:tr>
        <w:tc>
          <w:tcPr>
            <w:tcW w:type="dxa" w:w="922"/>
            <w:gridSpan w:val="2"/>
            <w:vMerge w:val="restart"/>
          </w:tcPr>
          <w:p>
            <w:pPr>
              <w:jc w:val="center"/>
            </w:pPr>
            <w:r>
              <w:rPr/>
              <w:t>技术部分</w:t>
            </w:r>
          </w:p>
        </w:tc>
        <w:tc>
          <w:tcPr>
            <w:tcW w:type="dxa" w:w="2307"/>
          </w:tcPr>
          <w:p>
            <w:pPr>
              <w:jc w:val="left"/>
            </w:pPr>
            <w:r>
              <w:rPr/>
              <w:t>服务方案 (7.0分)</w:t>
            </w:r>
            <w:r>
              <w:rPr/>
              <w:t>，（等次分值选择：</w:t>
            </w:r>
            <w:r>
              <w:rPr/>
              <w:t>0.0;</w:t>
            </w:r>
            <w:r>
              <w:rPr/>
              <w:t>1.0;</w:t>
            </w:r>
            <w:r>
              <w:rPr/>
              <w:t>3.0;</w:t>
            </w:r>
            <w:r>
              <w:rPr/>
              <w:t>5.0;</w:t>
            </w:r>
            <w:r>
              <w:rPr/>
              <w:t>7.0;</w:t>
            </w:r>
            <w:r>
              <w:rPr/>
              <w:t>）</w:t>
            </w:r>
          </w:p>
        </w:tc>
        <w:tc>
          <w:tcPr>
            <w:tcW w:type="dxa" w:w="5076"/>
          </w:tcPr>
          <w:p>
            <w:pPr>
              <w:jc w:val="left"/>
            </w:pPr>
            <w:r>
              <w:rPr/>
              <w:t>根据供应商针对本项目服务方案（方案包括但不仅限于项目服务内容、项目的推进、服务数量、服务质量理解程度，以及各项服务管理、组织实施方案、服务工作流程）进行评价： 方案详细、合理，流程清晰、可行性高，得7分； 方案较详细、合理，流程较清晰、可行性较高，得5分； 方案基本合理，流程基本可行，得3分； 方案不详细，流程不清晰，得1分； 方案不合理、不可行或无提供方案的得0分。</w:t>
            </w:r>
          </w:p>
        </w:tc>
      </w:tr>
      <w:tr>
        <w:tc>
          <w:tcPr>
            <w:tcW w:type="dxa" w:w="922"/>
            <w:gridSpan w:val="2"/>
            <w:vMerge/>
          </w:tcPr>
          <w:p/>
        </w:tc>
        <w:tc>
          <w:tcPr>
            <w:tcW w:type="dxa" w:w="2307"/>
          </w:tcPr>
          <w:p>
            <w:pPr>
              <w:jc w:val="left"/>
            </w:pPr>
            <w:r>
              <w:rPr/>
              <w:t>对技术(参数)要求响应程度 (3.0分)</w:t>
            </w:r>
          </w:p>
        </w:tc>
        <w:tc>
          <w:tcPr>
            <w:tcW w:type="dxa" w:w="5076"/>
          </w:tcPr>
          <w:p>
            <w:pPr>
              <w:jc w:val="left"/>
            </w:pPr>
            <w:r>
              <w:rPr/>
              <w:t>完全满足的得3分，有不满足或不响应的不得分。</w:t>
            </w:r>
          </w:p>
        </w:tc>
      </w:tr>
      <w:tr>
        <w:tc>
          <w:tcPr>
            <w:tcW w:type="dxa" w:w="922"/>
            <w:gridSpan w:val="2"/>
            <w:vMerge/>
          </w:tcPr>
          <w:p/>
        </w:tc>
        <w:tc>
          <w:tcPr>
            <w:tcW w:type="dxa" w:w="2307"/>
          </w:tcPr>
          <w:p>
            <w:pPr>
              <w:jc w:val="left"/>
            </w:pPr>
            <w:r>
              <w:rPr/>
              <w:t>安全管理 (10.0分)</w:t>
            </w:r>
          </w:p>
        </w:tc>
        <w:tc>
          <w:tcPr>
            <w:tcW w:type="dxa" w:w="5076"/>
          </w:tcPr>
          <w:p>
            <w:pPr>
              <w:jc w:val="left"/>
            </w:pPr>
            <w:r>
              <w:rPr/>
              <w:t>1、项目服务工作“安全第一”，供应商对项目安全管理工作措施落实、能配备有安全生产培训资质的管理人员对项目服务团队进行安全教育培训，投入项目的管理人员中具有省级或以上《安全生产培训教员资格证书》的得4分。 【提供上述证书、供应商与其签订的劳动合同扫描件及2022年内任意一个月在供应商参加社保或缴纳个人所得税凭证】。 2、供应商具有较丰富的安全管理能力和工作经验，能充分体现供应商在提供社会服务中安全管理能力和安全管理工作的显著成绩，获得当地政府机关授予安全生产（工作）先进单位相关荣誉的，每份得3分，累计最高得6分。 【提供证明材料扫描件并加盖公章】</w:t>
            </w:r>
          </w:p>
        </w:tc>
      </w:tr>
      <w:tr>
        <w:tc>
          <w:tcPr>
            <w:tcW w:type="dxa" w:w="922"/>
            <w:gridSpan w:val="2"/>
            <w:vMerge/>
          </w:tcPr>
          <w:p/>
        </w:tc>
        <w:tc>
          <w:tcPr>
            <w:tcW w:type="dxa" w:w="2307"/>
          </w:tcPr>
          <w:p>
            <w:pPr>
              <w:jc w:val="left"/>
            </w:pPr>
            <w:r>
              <w:rPr/>
              <w:t>服务人员配备 (8.0分)</w:t>
            </w:r>
          </w:p>
        </w:tc>
        <w:tc>
          <w:tcPr>
            <w:tcW w:type="dxa" w:w="5076"/>
          </w:tcPr>
          <w:p>
            <w:pPr>
              <w:jc w:val="left"/>
            </w:pPr>
            <w:r>
              <w:rPr/>
              <w:t>供应商投入项目的服务人员和管理人员中，政治素质和工作作风好，工作责任心强，能充分体现社会服务能力和社会服务保障能力，在提供社会服务工作中获取地方政府先进工作者荣誉的，每个得2分，合计最高得8分。【提供上述荣誉证书和个人2022年内任意一个月在供应商单位参加社保凭证扫描件并加盖公章，同一个人同一个年度奖以一个计算】</w:t>
            </w:r>
          </w:p>
        </w:tc>
      </w:tr>
      <w:tr>
        <w:tc>
          <w:tcPr>
            <w:tcW w:type="dxa" w:w="922"/>
            <w:gridSpan w:val="2"/>
            <w:vMerge/>
          </w:tcPr>
          <w:p/>
        </w:tc>
        <w:tc>
          <w:tcPr>
            <w:tcW w:type="dxa" w:w="2307"/>
          </w:tcPr>
          <w:p>
            <w:pPr>
              <w:jc w:val="left"/>
            </w:pPr>
            <w:r>
              <w:rPr/>
              <w:t>应急方案 (3.0分)</w:t>
            </w:r>
            <w:r>
              <w:rPr/>
              <w:t>，（等次分值选择：</w:t>
            </w:r>
            <w:r>
              <w:rPr/>
              <w:t>0.0;</w:t>
            </w:r>
            <w:r>
              <w:rPr/>
              <w:t>1.0;</w:t>
            </w:r>
            <w:r>
              <w:rPr/>
              <w:t>2.0;</w:t>
            </w:r>
            <w:r>
              <w:rPr/>
              <w:t>3.0;</w:t>
            </w:r>
            <w:r>
              <w:rPr/>
              <w:t>）</w:t>
            </w:r>
          </w:p>
        </w:tc>
        <w:tc>
          <w:tcPr>
            <w:tcW w:type="dxa" w:w="5076"/>
          </w:tcPr>
          <w:p>
            <w:pPr>
              <w:jc w:val="left"/>
            </w:pPr>
            <w:r>
              <w:rPr/>
              <w:t>根据供应商为本项目服务制定应急处理方案和发生突发事件的快速应急响应服务能力进行综合评审： 方案详细、合理，可行性高，得3分； 方案较详细、合理，可行性较高，得2分； 方案基本合理，基本可行，得1分； 方案不合理、不可行或无提供方案的得0分。</w:t>
            </w:r>
          </w:p>
        </w:tc>
      </w:tr>
      <w:tr>
        <w:tc>
          <w:tcPr>
            <w:tcW w:type="dxa" w:w="922"/>
            <w:gridSpan w:val="2"/>
            <w:vMerge/>
          </w:tcPr>
          <w:p/>
        </w:tc>
        <w:tc>
          <w:tcPr>
            <w:tcW w:type="dxa" w:w="2307"/>
          </w:tcPr>
          <w:p>
            <w:pPr>
              <w:jc w:val="left"/>
            </w:pPr>
            <w:r>
              <w:rPr/>
              <w:t>企业管理制度 (6.0分)</w:t>
            </w:r>
            <w:r>
              <w:rPr/>
              <w:t>，（等次分值选择：</w:t>
            </w:r>
            <w:r>
              <w:rPr/>
              <w:t>0.0;</w:t>
            </w:r>
            <w:r>
              <w:rPr/>
              <w:t>2.0;</w:t>
            </w:r>
            <w:r>
              <w:rPr/>
              <w:t>4.0;</w:t>
            </w:r>
            <w:r>
              <w:rPr/>
              <w:t>6.0;</w:t>
            </w:r>
            <w:r>
              <w:rPr/>
              <w:t>）</w:t>
            </w:r>
          </w:p>
        </w:tc>
        <w:tc>
          <w:tcPr>
            <w:tcW w:type="dxa" w:w="5076"/>
          </w:tcPr>
          <w:p>
            <w:pPr>
              <w:jc w:val="left"/>
            </w:pPr>
            <w:r>
              <w:rPr/>
              <w:t>根据各供应商的内部管理架构、项目服务措施、业务培训、保密制度、服务人员权益保障、合同订立、合同解除或终止、薪酬福利待遇、工作绩效考核和奖惩等制度的设立是否合理、科学进行综合评审： 制度完善、科学、可行性高，得6分； 制度较完善、较科学、可行性较高，得4分； 制度基本完善、科学性一般、基本可行，得2分； 方案差或无提供方案的，得0分。</w:t>
            </w:r>
          </w:p>
        </w:tc>
      </w:tr>
      <w:tr>
        <w:tc>
          <w:tcPr>
            <w:tcW w:type="dxa" w:w="922"/>
            <w:gridSpan w:val="2"/>
            <w:vMerge/>
          </w:tcPr>
          <w:p/>
        </w:tc>
        <w:tc>
          <w:tcPr>
            <w:tcW w:type="dxa" w:w="2307"/>
          </w:tcPr>
          <w:p>
            <w:pPr>
              <w:jc w:val="left"/>
            </w:pPr>
            <w:r>
              <w:rPr/>
              <w:t>服务优惠承诺 (3.0分)</w:t>
            </w:r>
            <w:r>
              <w:rPr/>
              <w:t>，（等次分值选择：</w:t>
            </w:r>
            <w:r>
              <w:rPr/>
              <w:t>0.0;</w:t>
            </w:r>
            <w:r>
              <w:rPr/>
              <w:t>1.0;</w:t>
            </w:r>
            <w:r>
              <w:rPr/>
              <w:t>2.0;</w:t>
            </w:r>
            <w:r>
              <w:rPr/>
              <w:t>3.0;</w:t>
            </w:r>
            <w:r>
              <w:rPr/>
              <w:t>）</w:t>
            </w:r>
          </w:p>
        </w:tc>
        <w:tc>
          <w:tcPr>
            <w:tcW w:type="dxa" w:w="5076"/>
          </w:tcPr>
          <w:p>
            <w:pPr>
              <w:jc w:val="left"/>
            </w:pPr>
            <w:r>
              <w:rPr/>
              <w:t>供应商能否针对本项目的服务人员配备及人员要求、项目的工作内容、投标人的基本职责、商务要求等服务承诺进行评价。 承诺详细、具体、全面的得3分； 承诺基本详细、具体的得2分； 承诺不具体、全面的得1分；   不提供不得分。</w:t>
            </w:r>
          </w:p>
        </w:tc>
      </w:tr>
      <w:tr>
        <w:tc>
          <w:tcPr>
            <w:tcW w:type="dxa" w:w="922"/>
            <w:gridSpan w:val="2"/>
            <w:vMerge w:val="restart"/>
          </w:tcPr>
          <w:p>
            <w:pPr>
              <w:jc w:val="center"/>
            </w:pPr>
            <w:r>
              <w:rPr/>
              <w:t>商务部分</w:t>
            </w:r>
          </w:p>
        </w:tc>
        <w:tc>
          <w:tcPr>
            <w:tcW w:type="dxa" w:w="2307"/>
          </w:tcPr>
          <w:p>
            <w:pPr>
              <w:jc w:val="left"/>
            </w:pPr>
            <w:r>
              <w:rPr/>
              <w:t>同类项目业绩 (12.0分)</w:t>
            </w:r>
          </w:p>
        </w:tc>
        <w:tc>
          <w:tcPr>
            <w:tcW w:type="dxa" w:w="5076"/>
          </w:tcPr>
          <w:p>
            <w:pPr>
              <w:jc w:val="left"/>
            </w:pPr>
            <w:r>
              <w:rPr/>
              <w:t>2020年1月1日至投标截止时间前（以合同签订时间为准），供应商具有与本项目密切相关业绩的，每提供一份合同得2分，本项最高得12分。 【提供合同书和中标（成交）通知书的扫描件。采购人有权要求中标候选人在中标后提供原件进行核查】</w:t>
            </w:r>
          </w:p>
        </w:tc>
      </w:tr>
      <w:tr>
        <w:tc>
          <w:tcPr>
            <w:tcW w:type="dxa" w:w="922"/>
            <w:gridSpan w:val="2"/>
            <w:vMerge/>
          </w:tcPr>
          <w:p/>
        </w:tc>
        <w:tc>
          <w:tcPr>
            <w:tcW w:type="dxa" w:w="2307"/>
          </w:tcPr>
          <w:p>
            <w:pPr>
              <w:jc w:val="left"/>
            </w:pPr>
            <w:r>
              <w:rPr/>
              <w:t>客户好评 (2.0分)</w:t>
            </w:r>
          </w:p>
        </w:tc>
        <w:tc>
          <w:tcPr>
            <w:tcW w:type="dxa" w:w="5076"/>
          </w:tcPr>
          <w:p>
            <w:pPr>
              <w:jc w:val="left"/>
            </w:pPr>
            <w:r>
              <w:rPr/>
              <w:t>供应商在提供社会服务中成绩优良，获得客户服务评价为良好及以上的或表扬信或嘉奖通知的，每个得1分，最高得2分。【提供客户服务评价表或表扬信或嘉奖通知扫描件并加盖公章作为证明材料。同一单位以一个计算】</w:t>
            </w:r>
          </w:p>
        </w:tc>
      </w:tr>
      <w:tr>
        <w:tc>
          <w:tcPr>
            <w:tcW w:type="dxa" w:w="922"/>
            <w:gridSpan w:val="2"/>
            <w:vMerge/>
          </w:tcPr>
          <w:p/>
        </w:tc>
        <w:tc>
          <w:tcPr>
            <w:tcW w:type="dxa" w:w="2307"/>
          </w:tcPr>
          <w:p>
            <w:pPr>
              <w:jc w:val="left"/>
            </w:pPr>
            <w:r>
              <w:rPr/>
              <w:t>拟投入本项目的项目管理人员水平 (6.0分)</w:t>
            </w:r>
          </w:p>
        </w:tc>
        <w:tc>
          <w:tcPr>
            <w:tcW w:type="dxa" w:w="5076"/>
          </w:tcPr>
          <w:p>
            <w:pPr>
              <w:jc w:val="left"/>
            </w:pPr>
            <w:r>
              <w:rPr/>
              <w:t>供应商对投入本项目的管理人员要有较丰富的企业管理工作经验，加强对项目服务的跟踪管理，确保项目服务的正常实施。所投入的管理人员中，经过专业培训机构培训，具有国家中级或以上管理师资格证书的，1个得3分，最高得6分。 【提供上述证书及个人2022年内任意一个月在供应商单位参加社保凭证扫描件并加盖公章】</w:t>
            </w:r>
          </w:p>
        </w:tc>
      </w:tr>
      <w:tr>
        <w:tc>
          <w:tcPr>
            <w:tcW w:type="dxa" w:w="922"/>
            <w:gridSpan w:val="2"/>
            <w:vMerge/>
          </w:tcPr>
          <w:p/>
        </w:tc>
        <w:tc>
          <w:tcPr>
            <w:tcW w:type="dxa" w:w="2307"/>
          </w:tcPr>
          <w:p>
            <w:pPr>
              <w:jc w:val="left"/>
            </w:pPr>
            <w:r>
              <w:rPr/>
              <w:t>企业组织架构健全 (10.0分)</w:t>
            </w:r>
          </w:p>
        </w:tc>
        <w:tc>
          <w:tcPr>
            <w:tcW w:type="dxa" w:w="5076"/>
          </w:tcPr>
          <w:p>
            <w:pPr>
              <w:jc w:val="left"/>
            </w:pPr>
            <w:r>
              <w:rPr/>
              <w:t>供应商内部组织架构健全，企业综合实力强： 1、能接收项目服务人员中党员的组织关系，能发展积极分子向党组织靠拢，关心他们政治学习和组织生活，充分发挥他们在项目服务中先锋作用，供应商已成立党支部并能在服务地开展支部组织活动的得3分，支部被政府评为“优秀两新党组织”的得2分； 2、能开展和关心服务人员的工会组织活动，充分发挥他们在项目服务中当家作主精神，供应商已建立工会组织并能在服务地开展组织工会活动的得3分，被政府评为优秀工会组织的得2分。 【本项累计最高得10分。提供上级相关证明文件扫描件】</w:t>
            </w:r>
          </w:p>
        </w:tc>
      </w:tr>
      <w:tr>
        <w:tc>
          <w:tcPr>
            <w:tcW w:type="dxa" w:w="922"/>
            <w:gridSpan w:val="2"/>
            <w:vMerge/>
          </w:tcPr>
          <w:p/>
        </w:tc>
        <w:tc>
          <w:tcPr>
            <w:tcW w:type="dxa" w:w="2307"/>
          </w:tcPr>
          <w:p>
            <w:pPr>
              <w:jc w:val="left"/>
            </w:pPr>
            <w:r>
              <w:rPr/>
              <w:t>服务机构便捷程度 (10.0分)</w:t>
            </w:r>
            <w:r>
              <w:rPr/>
              <w:t>，（等次分值选择：</w:t>
            </w:r>
            <w:r>
              <w:rPr/>
              <w:t>0.0;</w:t>
            </w:r>
            <w:r>
              <w:rPr/>
              <w:t>2.0;</w:t>
            </w:r>
            <w:r>
              <w:rPr/>
              <w:t>6.0;</w:t>
            </w:r>
            <w:r>
              <w:rPr/>
              <w:t>10.0;</w:t>
            </w:r>
            <w:r>
              <w:rPr/>
              <w:t>）</w:t>
            </w:r>
          </w:p>
        </w:tc>
        <w:tc>
          <w:tcPr>
            <w:tcW w:type="dxa" w:w="5076"/>
          </w:tcPr>
          <w:p>
            <w:pPr>
              <w:jc w:val="left"/>
            </w:pPr>
            <w:r>
              <w:rPr/>
              <w:t>根据各响应供应商提供服务的便利性、快捷响应程度进行评审：供应商能快速响应采购人服务要求，提供的服务十分便利的，得10分； 供应商响应采购人服务要求的速度一般，提供的服务较便利的，得6分； 供应商响应采购人服务要求速度较慢，提供的服务欠缺便利性的，得2分。  【提供服务点的营业执照或自有房产证明或租赁合同扫描件并提供供应商服务点到采购人单位（佛山市南海区狮山镇建设大厦）的最短驾驶导航截图，不提供不得分】</w:t>
            </w:r>
          </w:p>
        </w:tc>
      </w:tr>
      <w:tr>
        <w:tc>
          <w:tcPr>
            <w:tcW w:type="dxa" w:w="922"/>
            <w:gridSpan w:val="2"/>
          </w:tcPr>
          <w:p>
            <w:pPr>
              <w:jc w:val="center"/>
            </w:pPr>
            <w:r>
              <w:rPr/>
              <w:t>投标报价</w:t>
            </w:r>
          </w:p>
        </w:tc>
        <w:tc>
          <w:tcPr>
            <w:tcW w:type="dxa" w:w="2307"/>
          </w:tcPr>
          <w:p>
            <w:pPr>
              <w:jc w:val="left"/>
            </w:pPr>
            <w:r>
              <w:rPr/>
              <w:t>磋商报价得分 (20.0分)</w:t>
            </w:r>
          </w:p>
        </w:tc>
        <w:tc>
          <w:tcPr>
            <w:tcW w:type="dxa" w:w="5076"/>
          </w:tcPr>
          <w:p>
            <w:pPr>
              <w:jc w:val="left"/>
            </w:pPr>
            <w:r>
              <w:rPr/>
              <w:t>磋商报价得分＝（评审基准价/磋商报价）×价格分值【注：满足采购文件要求且磋商价格最低的磋商报价为评审基准价。】最低报价不是中标的唯一依据。因落实政府采购政策进行价格调整的，以调整后的价格计算评审基准价和磋商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p>
    <w:p>
      <w:pPr>
        <w:jc w:val="center"/>
      </w:pPr>
    </w:p>
    <w:p>
      <w:pPr>
        <w:jc w:val="center"/>
      </w:pPr>
      <w:r>
        <w:rPr>
          <w:sz w:val="68"/>
        </w:rPr>
        <w:t>佛山市政府采购项目</w:t>
      </w:r>
    </w:p>
    <w:p>
      <w:pPr>
        <w:jc w:val="center"/>
      </w:pPr>
      <w:r>
        <w:rPr>
          <w:sz w:val="68"/>
        </w:rPr>
        <w:t>项目合同书</w:t>
      </w:r>
    </w:p>
    <w:p>
      <w:pPr>
        <w:ind w:firstLine="2409"/>
        <w:jc w:val="both"/>
      </w:pPr>
    </w:p>
    <w:p>
      <w:pPr>
        <w:ind w:firstLine="2409"/>
        <w:jc w:val="both"/>
      </w:pPr>
    </w:p>
    <w:p>
      <w:pPr>
        <w:ind w:firstLine="2409"/>
        <w:jc w:val="both"/>
      </w:pPr>
    </w:p>
    <w:p>
      <w:pPr>
        <w:ind w:firstLine="2409"/>
        <w:jc w:val="both"/>
      </w:pPr>
    </w:p>
    <w:p>
      <w:pPr>
        <w:ind w:firstLine="2409"/>
        <w:jc w:val="both"/>
      </w:pPr>
    </w:p>
    <w:p>
      <w:pPr>
        <w:ind w:firstLine="2409"/>
        <w:jc w:val="both"/>
      </w:pPr>
      <w:r>
        <w:rPr>
          <w:b/>
          <w:sz w:val="24"/>
        </w:rPr>
        <w:t>项目编号：</w:t>
      </w:r>
      <w:r>
        <w:rPr>
          <w:b/>
          <w:sz w:val="24"/>
        </w:rPr>
        <w:t>SSZ-2022G31</w:t>
      </w:r>
    </w:p>
    <w:p>
      <w:pPr>
        <w:ind w:firstLine="2409"/>
        <w:jc w:val="both"/>
      </w:pPr>
      <w:r>
        <w:rPr>
          <w:b/>
          <w:sz w:val="24"/>
        </w:rPr>
        <w:t>项目名称：狮山镇建筑工程质量安全监督服务</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1620"/>
        <w:gridCol w:w="4275"/>
      </w:tblGrid>
      <w:tr>
        <w:tc>
          <w:tcPr>
            <w:tcW w:type="dxa" w:w="1620"/>
          </w:tcPr>
          <w:p>
            <w:pPr>
              <w:jc w:val="center"/>
            </w:pPr>
            <w:r>
              <w:rPr>
                <w:sz w:val="28"/>
              </w:rPr>
              <w:t>甲    方：</w:t>
            </w:r>
          </w:p>
        </w:tc>
        <w:tc>
          <w:tcPr>
            <w:tcW w:type="dxa" w:w="4275"/>
          </w:tcPr>
          <w:p>
            <w:r>
              <w:rPr>
                <w:sz w:val="28"/>
                <w:u w:val="single"/>
              </w:rPr>
              <w:t>佛山市南海区狮山镇城建和水利办公室</w:t>
            </w:r>
          </w:p>
        </w:tc>
      </w:tr>
      <w:tr>
        <w:tc>
          <w:tcPr>
            <w:tcW w:type="dxa" w:w="1620"/>
          </w:tcPr>
          <w:p>
            <w:pPr>
              <w:jc w:val="center"/>
            </w:pPr>
            <w:r>
              <w:rPr>
                <w:sz w:val="28"/>
              </w:rPr>
              <w:t>乙    方：</w:t>
            </w:r>
          </w:p>
        </w:tc>
        <w:tc>
          <w:tcPr>
            <w:tcW w:type="dxa" w:w="4275"/>
          </w:tcPr>
          <w:p>
            <w:r>
              <w:rPr>
                <w:sz w:val="22"/>
                <w:u w:val="single"/>
              </w:rPr>
              <w:t xml:space="preserve"> </w:t>
            </w:r>
            <w:r>
              <w:rPr>
                <w:sz w:val="28"/>
                <w:u w:val="single"/>
              </w:rPr>
              <w:t xml:space="preserve">（中标/成交供应商名称）     </w:t>
            </w:r>
          </w:p>
        </w:tc>
      </w:tr>
      <w:tr>
        <w:tc>
          <w:tcPr>
            <w:tcW w:type="dxa" w:w="1620"/>
          </w:tcPr>
          <w:p>
            <w:pPr>
              <w:jc w:val="center"/>
            </w:pPr>
            <w:r>
              <w:rPr>
                <w:sz w:val="28"/>
              </w:rPr>
              <w:t>签订日期：</w:t>
            </w:r>
          </w:p>
        </w:tc>
        <w:tc>
          <w:tcPr>
            <w:tcW w:type="dxa" w:w="4275"/>
          </w:tcPr>
          <w:p>
            <w:r>
              <w:rPr>
                <w:sz w:val="28"/>
                <w:u w:val="single"/>
              </w:rPr>
              <w:t xml:space="preserve">年 月日      </w:t>
            </w:r>
          </w:p>
        </w:tc>
      </w:tr>
    </w:tbl>
    <w:p>
      <w:pPr>
        <w:jc w:val="center"/>
      </w:pPr>
    </w:p>
    <w:p>
      <w:pPr>
        <w:jc w:val="both"/>
      </w:pPr>
    </w:p>
    <w:p>
      <w:pPr>
        <w:jc w:val="both"/>
      </w:pPr>
    </w:p>
    <w:p>
      <w:pPr>
        <w:jc w:val="both"/>
      </w:pPr>
    </w:p>
    <w:p>
      <w:pPr>
        <w:jc w:val="both"/>
      </w:pPr>
    </w:p>
    <w:p>
      <w:pPr>
        <w:jc w:val="center"/>
      </w:pPr>
      <w:r>
        <w:rPr>
          <w:b/>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1"/>
        <w:gridCol w:w="6674"/>
      </w:tblGrid>
      <w:tr>
        <w:tc>
          <w:tcPr>
            <w:tcW w:type="dxa" w:w="1631"/>
          </w:tcPr>
          <w:p>
            <w:pPr>
              <w:jc w:val="both"/>
            </w:pPr>
            <w:r>
              <w:rPr>
                <w:b/>
                <w:sz w:val="21"/>
              </w:rPr>
              <w:t>项目名称：</w:t>
            </w:r>
          </w:p>
        </w:tc>
        <w:tc>
          <w:tcPr>
            <w:tcW w:type="dxa" w:w="6674"/>
          </w:tcPr>
          <w:p>
            <w:r>
              <w:rPr>
                <w:sz w:val="21"/>
                <w:u w:val="single"/>
              </w:rPr>
              <w:t>狮山镇建筑工程质量安全监督服务</w:t>
            </w:r>
          </w:p>
        </w:tc>
      </w:tr>
      <w:tr>
        <w:tc>
          <w:tcPr>
            <w:tcW w:type="dxa" w:w="1631"/>
          </w:tcPr>
          <w:p>
            <w:pPr>
              <w:jc w:val="both"/>
            </w:pPr>
            <w:r>
              <w:rPr>
                <w:b/>
                <w:sz w:val="21"/>
              </w:rPr>
              <w:t>项目编号：</w:t>
            </w:r>
          </w:p>
        </w:tc>
        <w:tc>
          <w:tcPr>
            <w:tcW w:type="dxa" w:w="6674"/>
          </w:tcPr>
          <w:p>
            <w:pPr>
              <w:jc w:val="both"/>
            </w:pPr>
            <w:r>
              <w:rPr>
                <w:sz w:val="21"/>
                <w:u w:val="single"/>
              </w:rPr>
              <w:t>SSZ-2022G31</w:t>
            </w:r>
          </w:p>
        </w:tc>
      </w:tr>
      <w:tr>
        <w:tc>
          <w:tcPr>
            <w:tcW w:type="dxa" w:w="1631"/>
          </w:tcPr>
          <w:p>
            <w:pPr>
              <w:jc w:val="both"/>
            </w:pPr>
            <w:r>
              <w:rPr>
                <w:b/>
                <w:sz w:val="21"/>
              </w:rPr>
              <w:t>甲方：</w:t>
            </w:r>
          </w:p>
        </w:tc>
        <w:tc>
          <w:tcPr>
            <w:tcW w:type="dxa" w:w="6674"/>
          </w:tcPr>
          <w:p>
            <w:pPr>
              <w:jc w:val="both"/>
            </w:pPr>
            <w:r>
              <w:rPr>
                <w:sz w:val="21"/>
                <w:u w:val="single"/>
              </w:rPr>
              <w:t>佛山市南海区狮山镇城建和水利办公室</w:t>
            </w:r>
          </w:p>
        </w:tc>
      </w:tr>
      <w:tr>
        <w:tc>
          <w:tcPr>
            <w:tcW w:type="dxa" w:w="1631"/>
          </w:tcPr>
          <w:p>
            <w:pPr>
              <w:jc w:val="both"/>
            </w:pPr>
            <w:r>
              <w:rPr>
                <w:b/>
                <w:sz w:val="21"/>
              </w:rPr>
              <w:t>乙    方：</w:t>
            </w:r>
          </w:p>
        </w:tc>
        <w:tc>
          <w:tcPr>
            <w:tcW w:type="dxa" w:w="6674"/>
          </w:tcPr>
          <w:p>
            <w:pPr>
              <w:jc w:val="both"/>
            </w:pPr>
            <w:r>
              <w:rPr>
                <w:sz w:val="21"/>
                <w:u w:val="single"/>
              </w:rPr>
              <w:t xml:space="preserve">（中标/成交供应商）                                </w:t>
            </w:r>
          </w:p>
        </w:tc>
      </w:tr>
      <w:tr>
        <w:tc>
          <w:tcPr>
            <w:tcW w:type="dxa" w:w="1631"/>
          </w:tcPr>
          <w:p>
            <w:pPr>
              <w:jc w:val="both"/>
            </w:pPr>
            <w:r>
              <w:rPr>
                <w:b/>
                <w:sz w:val="21"/>
              </w:rPr>
              <w:t>合同性质：</w:t>
            </w:r>
          </w:p>
        </w:tc>
        <w:tc>
          <w:tcPr>
            <w:tcW w:type="dxa" w:w="6674"/>
          </w:tcPr>
          <w:p>
            <w:pPr>
              <w:jc w:val="both"/>
            </w:pPr>
            <w:r>
              <w:rPr>
                <w:sz w:val="21"/>
                <w:u w:val="single"/>
              </w:rPr>
              <w:t>本合同为中小企业预留合同</w:t>
            </w:r>
          </w:p>
        </w:tc>
      </w:tr>
    </w:tbl>
    <w:p>
      <w:pPr>
        <w:jc w:val="both"/>
      </w:pPr>
    </w:p>
    <w:p>
      <w:pPr>
        <w:ind w:firstLine="420"/>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jc w:val="both"/>
      </w:pPr>
      <w:r>
        <w:rPr>
          <w:b/>
          <w:sz w:val="21"/>
        </w:rPr>
        <w:t>一、项目主要内容及实现功能目标：</w:t>
      </w:r>
    </w:p>
    <w:p>
      <w:pPr>
        <w:ind w:firstLine="420"/>
        <w:jc w:val="both"/>
      </w:pPr>
      <w:r>
        <w:rPr>
          <w:sz w:val="21"/>
        </w:rPr>
        <w:t>为进一步加强狮山镇建筑工程施工现场安全管理工作，有效防范和坚决遏制建筑工程安全生产事故的发生，以及加快推进狮山镇辖区内市政工程的建设，避免工程质量、施工安全管理等监管的缺失，加强对因各种原因未能依法办理报建手续的市政工程的管理，现通过向社会购买辅助性服务，开展对相应类别的建设工程项目管理、项目巡查等工作提供服务。</w:t>
      </w:r>
    </w:p>
    <w:p>
      <w:pPr>
        <w:jc w:val="both"/>
      </w:pPr>
      <w:r>
        <w:rPr>
          <w:b/>
          <w:sz w:val="21"/>
        </w:rPr>
        <w:t>二、产品及服务供应清单：</w:t>
      </w:r>
      <w:r>
        <w:rPr>
          <w:sz w:val="21"/>
        </w:rPr>
        <w:t>见附件一</w:t>
      </w:r>
      <w:r>
        <w:rPr>
          <w:sz w:val="21"/>
        </w:rPr>
        <w:t>《报价清单明细表》。</w:t>
      </w:r>
    </w:p>
    <w:p>
      <w:pPr>
        <w:jc w:val="both"/>
      </w:pPr>
      <w:r>
        <w:rPr>
          <w:b/>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6"/>
        <w:gridCol w:w="1536"/>
        <w:gridCol w:w="6090"/>
      </w:tblGrid>
      <w:tr>
        <w:tc>
          <w:tcPr>
            <w:tcW w:type="dxa" w:w="666"/>
            <w:tcBorders>
              <w:top w:val="single" w:color="000000" w:sz="4"/>
              <w:left w:val="single" w:color="000000" w:sz="4"/>
              <w:bottom w:val="single" w:color="000000" w:sz="4"/>
              <w:right w:val="single" w:color="000000" w:sz="4"/>
            </w:tcBorders>
          </w:tcPr>
          <w:p>
            <w:pPr>
              <w:jc w:val="center"/>
            </w:pPr>
            <w:r>
              <w:rPr>
                <w:b/>
                <w:sz w:val="21"/>
              </w:rPr>
              <w:t>序号</w:t>
            </w:r>
          </w:p>
        </w:tc>
        <w:tc>
          <w:tcPr>
            <w:tcW w:type="dxa" w:w="1536"/>
            <w:tcBorders>
              <w:top w:val="single" w:color="000000" w:sz="4"/>
              <w:left w:val="none" w:color="000000" w:sz="4"/>
              <w:bottom w:val="single" w:color="000000" w:sz="4"/>
              <w:right w:val="single" w:color="000000" w:sz="4"/>
            </w:tcBorders>
          </w:tcPr>
          <w:p>
            <w:pPr>
              <w:jc w:val="center"/>
            </w:pPr>
            <w:r>
              <w:rPr>
                <w:b/>
                <w:sz w:val="21"/>
              </w:rPr>
              <w:t>合同条款</w:t>
            </w:r>
          </w:p>
        </w:tc>
        <w:tc>
          <w:tcPr>
            <w:tcW w:type="dxa" w:w="6090"/>
            <w:tcBorders>
              <w:top w:val="single" w:color="000000" w:sz="4"/>
              <w:left w:val="none" w:color="000000" w:sz="4"/>
              <w:bottom w:val="single" w:color="000000" w:sz="4"/>
              <w:right w:val="single" w:color="000000" w:sz="4"/>
            </w:tcBorders>
          </w:tcPr>
          <w:p>
            <w:pPr>
              <w:jc w:val="center"/>
            </w:pPr>
            <w:r>
              <w:rPr>
                <w:b/>
                <w:sz w:val="21"/>
              </w:rPr>
              <w:t>内  容</w:t>
            </w:r>
          </w:p>
        </w:tc>
      </w:tr>
      <w:tr>
        <w:tc>
          <w:tcPr>
            <w:tcW w:type="dxa" w:w="666"/>
            <w:tcBorders>
              <w:top w:val="none" w:color="000000" w:sz="4"/>
              <w:left w:val="single" w:color="000000" w:sz="4"/>
              <w:bottom w:val="single" w:color="000000" w:sz="4"/>
              <w:right w:val="single" w:color="000000" w:sz="4"/>
            </w:tcBorders>
          </w:tcPr>
          <w:p>
            <w:pPr>
              <w:jc w:val="both"/>
            </w:pPr>
            <w:r>
              <w:rPr>
                <w:b/>
                <w:sz w:val="21"/>
              </w:rPr>
              <w:t>1.</w:t>
            </w:r>
          </w:p>
        </w:tc>
        <w:tc>
          <w:tcPr>
            <w:tcW w:type="dxa" w:w="1536"/>
            <w:tcBorders>
              <w:top w:val="none" w:color="000000" w:sz="4"/>
              <w:left w:val="none" w:color="000000" w:sz="4"/>
              <w:bottom w:val="single" w:color="000000" w:sz="4"/>
              <w:right w:val="single" w:color="000000" w:sz="4"/>
            </w:tcBorders>
          </w:tcPr>
          <w:p>
            <w:pPr>
              <w:jc w:val="center"/>
            </w:pPr>
            <w:r>
              <w:rPr>
                <w:b/>
                <w:sz w:val="21"/>
              </w:rPr>
              <w:t>合同总额</w:t>
            </w:r>
          </w:p>
        </w:tc>
        <w:tc>
          <w:tcPr>
            <w:tcW w:type="dxa" w:w="6090"/>
            <w:tcBorders>
              <w:top w:val="none" w:color="000000" w:sz="4"/>
              <w:left w:val="none" w:color="000000" w:sz="4"/>
              <w:bottom w:val="single" w:color="000000" w:sz="4"/>
              <w:right w:val="single" w:color="000000" w:sz="4"/>
            </w:tcBorders>
          </w:tcPr>
          <w:p>
            <w:pPr>
              <w:jc w:val="both"/>
            </w:pPr>
            <w:r>
              <w:rPr>
                <w:sz w:val="21"/>
              </w:rPr>
              <w:t>人民币  小写：元；</w:t>
            </w:r>
          </w:p>
          <w:p>
            <w:pPr>
              <w:jc w:val="both"/>
            </w:pPr>
            <w:r>
              <w:rPr>
                <w:sz w:val="21"/>
              </w:rPr>
              <w:t>大写：</w:t>
            </w:r>
          </w:p>
        </w:tc>
      </w:tr>
      <w:tr>
        <w:tc>
          <w:tcPr>
            <w:tcW w:type="dxa" w:w="666"/>
            <w:tcBorders>
              <w:top w:val="none" w:color="000000" w:sz="4"/>
              <w:left w:val="single" w:color="000000" w:sz="4"/>
              <w:bottom w:val="single" w:color="000000" w:sz="4"/>
              <w:right w:val="single" w:color="000000" w:sz="4"/>
            </w:tcBorders>
          </w:tcPr>
          <w:p>
            <w:pPr>
              <w:jc w:val="center"/>
            </w:pPr>
            <w:r>
              <w:rPr>
                <w:b/>
                <w:sz w:val="21"/>
              </w:rPr>
              <w:t>2.</w:t>
            </w:r>
          </w:p>
        </w:tc>
        <w:tc>
          <w:tcPr>
            <w:tcW w:type="dxa" w:w="1536"/>
            <w:tcBorders>
              <w:top w:val="none" w:color="000000" w:sz="4"/>
              <w:left w:val="none" w:color="000000" w:sz="4"/>
              <w:bottom w:val="single" w:color="000000" w:sz="4"/>
              <w:right w:val="single" w:color="000000" w:sz="4"/>
            </w:tcBorders>
          </w:tcPr>
          <w:p>
            <w:pPr>
              <w:jc w:val="center"/>
            </w:pPr>
            <w:r>
              <w:rPr>
                <w:b/>
                <w:sz w:val="21"/>
              </w:rPr>
              <w:t>合同总额内容</w:t>
            </w:r>
          </w:p>
        </w:tc>
        <w:tc>
          <w:tcPr>
            <w:tcW w:type="dxa" w:w="6090"/>
            <w:tcBorders>
              <w:top w:val="none" w:color="000000" w:sz="4"/>
              <w:left w:val="none" w:color="000000" w:sz="4"/>
              <w:bottom w:val="single" w:color="000000" w:sz="4"/>
              <w:right w:val="single" w:color="000000" w:sz="4"/>
            </w:tcBorders>
          </w:tcPr>
          <w:p>
            <w:pPr>
              <w:jc w:val="both"/>
            </w:pPr>
            <w:r>
              <w:rPr>
                <w:sz w:val="21"/>
              </w:rPr>
              <w:t>（1）合同总额包括</w:t>
            </w:r>
            <w:r>
              <w:rPr>
                <w:sz w:val="21"/>
              </w:rPr>
              <w:t>项目服务团队人员工资、为员工缴纳社保、住房公积金、残疾人就业保障金、服务管理费、经济补偿金、税费、招聘费、单位缴费标准提升、国家规定依法支付给劳动者的有关费、不可预测费用。乙方必须充分考虑市场价格的调节，统筹安排好项目服务费使用，甲方将不再另支付合同金额以外的任何费用。</w:t>
            </w:r>
          </w:p>
          <w:p>
            <w:pPr>
              <w:jc w:val="both"/>
            </w:pPr>
            <w:r>
              <w:rPr>
                <w:sz w:val="21"/>
              </w:rPr>
              <w:t>（2）价格为固定不变价，天数为公历日。</w:t>
            </w:r>
          </w:p>
        </w:tc>
      </w:tr>
      <w:tr>
        <w:tc>
          <w:tcPr>
            <w:tcW w:type="dxa" w:w="666"/>
            <w:tcBorders>
              <w:top w:val="none" w:color="000000" w:sz="4"/>
              <w:left w:val="single" w:color="000000" w:sz="4"/>
              <w:bottom w:val="single" w:color="000000" w:sz="4"/>
              <w:right w:val="single" w:color="000000" w:sz="4"/>
            </w:tcBorders>
          </w:tcPr>
          <w:p>
            <w:pPr>
              <w:jc w:val="center"/>
            </w:pPr>
            <w:r>
              <w:rPr>
                <w:b/>
                <w:sz w:val="21"/>
              </w:rPr>
              <w:t>3.</w:t>
            </w:r>
          </w:p>
        </w:tc>
        <w:tc>
          <w:tcPr>
            <w:tcW w:type="dxa" w:w="1536"/>
            <w:tcBorders>
              <w:top w:val="none" w:color="000000" w:sz="4"/>
              <w:left w:val="none" w:color="000000" w:sz="4"/>
              <w:bottom w:val="single" w:color="000000" w:sz="4"/>
              <w:right w:val="single" w:color="000000" w:sz="4"/>
            </w:tcBorders>
          </w:tcPr>
          <w:p>
            <w:pPr>
              <w:jc w:val="center"/>
            </w:pPr>
            <w:r>
              <w:rPr>
                <w:b/>
                <w:sz w:val="21"/>
              </w:rPr>
              <w:t>项目服务地点</w:t>
            </w:r>
          </w:p>
        </w:tc>
        <w:tc>
          <w:tcPr>
            <w:tcW w:type="dxa" w:w="6090"/>
            <w:tcBorders>
              <w:top w:val="none" w:color="000000" w:sz="4"/>
              <w:left w:val="none" w:color="000000" w:sz="4"/>
              <w:bottom w:val="single" w:color="000000" w:sz="4"/>
              <w:right w:val="single" w:color="000000" w:sz="4"/>
            </w:tcBorders>
          </w:tcPr>
          <w:p>
            <w:r>
              <w:rPr>
                <w:sz w:val="21"/>
              </w:rPr>
              <w:t>甲方（用户）指定地点。详细地址为：</w:t>
            </w:r>
          </w:p>
        </w:tc>
      </w:tr>
      <w:tr>
        <w:tc>
          <w:tcPr>
            <w:tcW w:type="dxa" w:w="666"/>
            <w:tcBorders>
              <w:top w:val="none" w:color="000000" w:sz="4"/>
              <w:left w:val="single" w:color="000000" w:sz="4"/>
              <w:bottom w:val="single" w:color="000000" w:sz="4"/>
              <w:right w:val="single" w:color="000000" w:sz="4"/>
            </w:tcBorders>
          </w:tcPr>
          <w:p>
            <w:pPr>
              <w:jc w:val="center"/>
            </w:pPr>
            <w:r>
              <w:rPr>
                <w:b/>
                <w:sz w:val="21"/>
              </w:rPr>
              <w:t>4.</w:t>
            </w:r>
          </w:p>
        </w:tc>
        <w:tc>
          <w:tcPr>
            <w:tcW w:type="dxa" w:w="1536"/>
            <w:tcBorders>
              <w:top w:val="none" w:color="000000" w:sz="4"/>
              <w:left w:val="none" w:color="000000" w:sz="4"/>
              <w:bottom w:val="single" w:color="000000" w:sz="4"/>
              <w:right w:val="single" w:color="000000" w:sz="4"/>
            </w:tcBorders>
          </w:tcPr>
          <w:p>
            <w:pPr>
              <w:jc w:val="center"/>
            </w:pPr>
            <w:r>
              <w:rPr>
                <w:b/>
                <w:sz w:val="21"/>
              </w:rPr>
              <w:t>服务期</w:t>
            </w:r>
          </w:p>
        </w:tc>
        <w:tc>
          <w:tcPr>
            <w:tcW w:type="dxa" w:w="6090"/>
            <w:tcBorders>
              <w:top w:val="none" w:color="000000" w:sz="4"/>
              <w:left w:val="none" w:color="000000" w:sz="4"/>
              <w:bottom w:val="single" w:color="000000" w:sz="4"/>
              <w:right w:val="single" w:color="000000" w:sz="4"/>
            </w:tcBorders>
          </w:tcPr>
          <w:p>
            <w:r>
              <w:rPr>
                <w:sz w:val="21"/>
              </w:rPr>
              <w:t>合同生效后提供___年服务，即从      年   月   日至      年   月   日。</w:t>
            </w:r>
          </w:p>
        </w:tc>
      </w:tr>
      <w:tr>
        <w:tc>
          <w:tcPr>
            <w:tcW w:type="dxa" w:w="666"/>
            <w:tcBorders>
              <w:top w:val="none" w:color="000000" w:sz="4"/>
              <w:left w:val="single" w:color="000000" w:sz="4"/>
              <w:bottom w:val="single" w:color="000000" w:sz="4"/>
              <w:right w:val="single" w:color="000000" w:sz="4"/>
            </w:tcBorders>
          </w:tcPr>
          <w:p>
            <w:pPr>
              <w:jc w:val="center"/>
            </w:pPr>
            <w:r>
              <w:rPr>
                <w:b/>
                <w:sz w:val="21"/>
              </w:rPr>
              <w:t>5.</w:t>
            </w:r>
          </w:p>
        </w:tc>
        <w:tc>
          <w:tcPr>
            <w:tcW w:type="dxa" w:w="1536"/>
            <w:tcBorders>
              <w:top w:val="none" w:color="000000" w:sz="4"/>
              <w:left w:val="none" w:color="000000" w:sz="4"/>
              <w:bottom w:val="single" w:color="000000" w:sz="4"/>
              <w:right w:val="single" w:color="000000" w:sz="4"/>
            </w:tcBorders>
          </w:tcPr>
          <w:p>
            <w:pPr>
              <w:jc w:val="center"/>
            </w:pPr>
            <w:r>
              <w:rPr>
                <w:b/>
                <w:sz w:val="21"/>
              </w:rPr>
              <w:t>合同签订方式及情况</w:t>
            </w:r>
          </w:p>
        </w:tc>
        <w:tc>
          <w:tcPr>
            <w:tcW w:type="dxa" w:w="6090"/>
            <w:tcBorders>
              <w:top w:val="none" w:color="000000" w:sz="4"/>
              <w:left w:val="none" w:color="000000" w:sz="4"/>
              <w:bottom w:val="single" w:color="000000" w:sz="4"/>
              <w:right w:val="single" w:color="000000" w:sz="4"/>
            </w:tcBorders>
          </w:tcPr>
          <w:p>
            <w:pPr>
              <w:jc w:val="both"/>
            </w:pPr>
            <w:r>
              <w:rPr>
                <w:sz w:val="21"/>
              </w:rPr>
              <w:t>一次性签订本项目采购合同。</w:t>
            </w:r>
          </w:p>
        </w:tc>
      </w:tr>
      <w:tr>
        <w:tc>
          <w:tcPr>
            <w:tcW w:type="dxa" w:w="666"/>
            <w:tcBorders>
              <w:top w:val="none" w:color="000000" w:sz="4"/>
              <w:left w:val="single" w:color="000000" w:sz="4"/>
              <w:bottom w:val="single" w:color="000000" w:sz="4"/>
              <w:right w:val="single" w:color="000000" w:sz="4"/>
            </w:tcBorders>
          </w:tcPr>
          <w:p>
            <w:pPr>
              <w:jc w:val="center"/>
            </w:pPr>
            <w:r>
              <w:rPr>
                <w:b/>
                <w:sz w:val="21"/>
              </w:rPr>
              <w:t>6.</w:t>
            </w:r>
          </w:p>
        </w:tc>
        <w:tc>
          <w:tcPr>
            <w:tcW w:type="dxa" w:w="1536"/>
            <w:tcBorders>
              <w:top w:val="none" w:color="000000" w:sz="4"/>
              <w:left w:val="none" w:color="000000" w:sz="4"/>
              <w:bottom w:val="single" w:color="000000" w:sz="4"/>
              <w:right w:val="single" w:color="000000" w:sz="4"/>
            </w:tcBorders>
          </w:tcPr>
          <w:p>
            <w:pPr>
              <w:jc w:val="center"/>
            </w:pPr>
            <w:r>
              <w:rPr>
                <w:b/>
                <w:sz w:val="21"/>
              </w:rPr>
              <w:t>付款方式</w:t>
            </w:r>
          </w:p>
        </w:tc>
        <w:tc>
          <w:tcPr>
            <w:tcW w:type="dxa" w:w="6090"/>
            <w:tcBorders>
              <w:top w:val="none" w:color="000000" w:sz="4"/>
              <w:left w:val="none" w:color="000000" w:sz="4"/>
              <w:bottom w:val="single" w:color="000000" w:sz="4"/>
              <w:right w:val="single" w:color="000000" w:sz="4"/>
            </w:tcBorders>
          </w:tcPr>
          <w:p>
            <w:r>
              <w:rPr>
                <w:sz w:val="21"/>
              </w:rPr>
              <w:t>服务期内分四期（每期3个月）结算，每期项目费用为成交金额除以12个月乘以支付的月数。第一期结算在合同签订后第1个月5日前支付3个月费用；第二期结算为合同签订后第4个月5日前支付3个月费用；如此类推。每期甲方在收到乙方项目费用的支付有关资料和有效发票后5天内把本期项目预算费用以转账结算的方式支付给乙方，如遇节假日则顺延相应天数；如乙方原因造成所投入的服务团队中每少1人，则在下期支付的项目费用中（不含车辆费用）扣除相应的费用【相应的费用=（成交金额</w:t>
            </w:r>
            <w:r>
              <w:rPr>
                <w:sz w:val="22"/>
              </w:rPr>
              <w:t>－车辆费用﹚</w:t>
            </w:r>
            <w:r>
              <w:rPr>
                <w:sz w:val="21"/>
              </w:rPr>
              <w:t>÷12个月×5%×缺人的月数×缺少的人数】。乙方凭以下有效文件与甲方结算：（1）合同；（2）乙方开具划拨款项等额的正式发票</w:t>
            </w:r>
            <w:r>
              <w:rPr>
                <w:sz w:val="22"/>
              </w:rPr>
              <w:t>和提供项目发生所在地依法纳税的费用发票</w:t>
            </w:r>
            <w:r>
              <w:rPr>
                <w:sz w:val="21"/>
              </w:rPr>
              <w:t>，有效发票必须遵循属地管理原则；（3）成交通知书。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666"/>
            <w:tcBorders>
              <w:top w:val="none" w:color="000000" w:sz="4"/>
              <w:left w:val="single" w:color="000000" w:sz="4"/>
              <w:bottom w:val="single" w:color="000000" w:sz="4"/>
              <w:right w:val="single" w:color="000000" w:sz="4"/>
            </w:tcBorders>
          </w:tcPr>
          <w:p>
            <w:pPr>
              <w:jc w:val="center"/>
            </w:pPr>
            <w:r>
              <w:rPr>
                <w:b/>
                <w:sz w:val="21"/>
              </w:rPr>
              <w:t>8.</w:t>
            </w:r>
          </w:p>
        </w:tc>
        <w:tc>
          <w:tcPr>
            <w:tcW w:type="dxa" w:w="1536"/>
            <w:tcBorders>
              <w:top w:val="none" w:color="000000" w:sz="4"/>
              <w:left w:val="none" w:color="000000" w:sz="4"/>
              <w:bottom w:val="single" w:color="000000" w:sz="4"/>
              <w:right w:val="single" w:color="000000" w:sz="4"/>
            </w:tcBorders>
          </w:tcPr>
          <w:p>
            <w:pPr>
              <w:jc w:val="center"/>
            </w:pPr>
            <w:r>
              <w:rPr>
                <w:sz w:val="21"/>
              </w:rPr>
              <w:t>验收要求</w:t>
            </w:r>
          </w:p>
        </w:tc>
        <w:tc>
          <w:tcPr>
            <w:tcW w:type="dxa" w:w="6090"/>
            <w:tcBorders>
              <w:top w:val="none" w:color="000000" w:sz="4"/>
              <w:left w:val="none" w:color="000000" w:sz="4"/>
              <w:bottom w:val="single" w:color="000000" w:sz="4"/>
              <w:right w:val="single" w:color="000000" w:sz="4"/>
            </w:tcBorders>
          </w:tcPr>
          <w:p>
            <w:r>
              <w:rPr>
                <w:sz w:val="21"/>
              </w:rPr>
              <w:t>甲方在收到乙方项目验收建议之日起7个工作日内按照合同的约定对履约情况进行验收。乙方需为验收提供必需的一切条件及相关费用，并提供本项目的相关文档和验收所需资料，积极配合甲方完成验收工作。</w:t>
            </w:r>
          </w:p>
        </w:tc>
      </w:tr>
      <w:tr>
        <w:tc>
          <w:tcPr>
            <w:tcW w:type="dxa" w:w="666"/>
            <w:tcBorders>
              <w:top w:val="none" w:color="000000" w:sz="4"/>
              <w:left w:val="single" w:color="000000" w:sz="4"/>
              <w:bottom w:val="single" w:color="000000" w:sz="4"/>
              <w:right w:val="single" w:color="000000" w:sz="4"/>
            </w:tcBorders>
          </w:tcPr>
          <w:p>
            <w:pPr>
              <w:jc w:val="center"/>
            </w:pPr>
            <w:r>
              <w:rPr>
                <w:b/>
                <w:sz w:val="21"/>
              </w:rPr>
              <w:t>9</w:t>
            </w:r>
          </w:p>
        </w:tc>
        <w:tc>
          <w:tcPr>
            <w:tcW w:type="dxa" w:w="1536"/>
            <w:tcBorders>
              <w:top w:val="none" w:color="000000" w:sz="4"/>
              <w:left w:val="none" w:color="000000" w:sz="4"/>
              <w:bottom w:val="single" w:color="000000" w:sz="4"/>
              <w:right w:val="single" w:color="000000" w:sz="4"/>
            </w:tcBorders>
          </w:tcPr>
          <w:p>
            <w:pPr>
              <w:jc w:val="center"/>
            </w:pPr>
            <w:r>
              <w:rPr>
                <w:sz w:val="21"/>
              </w:rPr>
              <w:t>服务质量</w:t>
            </w:r>
          </w:p>
        </w:tc>
        <w:tc>
          <w:tcPr>
            <w:tcW w:type="dxa" w:w="6090"/>
            <w:tcBorders>
              <w:top w:val="none" w:color="000000" w:sz="4"/>
              <w:left w:val="none" w:color="000000" w:sz="4"/>
              <w:bottom w:val="single" w:color="000000" w:sz="4"/>
              <w:right w:val="single" w:color="000000" w:sz="4"/>
            </w:tcBorders>
          </w:tcPr>
          <w:p>
            <w:r>
              <w:rPr>
                <w:sz w:val="21"/>
              </w:rPr>
              <w:t>1</w:t>
            </w:r>
            <w:r>
              <w:rPr>
                <w:sz w:val="21"/>
              </w:rPr>
              <w:t>、现场施工安全、文明施工和工地扬尘情况监管标准，参考建筑施工安全检查标准（JGJ59-2011）执行；市政工程施工安全检查标准，按（CJJ/T 275-2018）及有关部门文件规定执行。</w:t>
            </w:r>
          </w:p>
          <w:p>
            <w:r>
              <w:rPr>
                <w:sz w:val="21"/>
              </w:rPr>
              <w:t>2</w:t>
            </w:r>
            <w:r>
              <w:rPr>
                <w:sz w:val="21"/>
              </w:rPr>
              <w:t>、服务人员对相关工作要精准理解和掌握，做到精准服务不出差错，保证按时按质按量完成工作任务，做到甲方满意。</w:t>
            </w:r>
          </w:p>
          <w:p>
            <w:r>
              <w:rPr>
                <w:sz w:val="21"/>
              </w:rPr>
              <w:t>3</w:t>
            </w:r>
            <w:r>
              <w:rPr>
                <w:sz w:val="21"/>
              </w:rPr>
              <w:t>、严格遵守甲方规章制度和工作纪律。</w:t>
            </w:r>
          </w:p>
          <w:p>
            <w:r>
              <w:rPr>
                <w:sz w:val="21"/>
              </w:rPr>
              <w:t>4</w:t>
            </w:r>
            <w:r>
              <w:rPr>
                <w:sz w:val="21"/>
              </w:rPr>
              <w:t>、监管小组服务人员若不按照项目相关规定执行或不按照甲方要求提供服务的，经教育拒不改正的，甲方有权依法要求乙方更换人员。</w:t>
            </w:r>
          </w:p>
        </w:tc>
      </w:tr>
    </w:tbl>
    <w:p>
      <w:pPr>
        <w:jc w:val="both"/>
      </w:pPr>
    </w:p>
    <w:p>
      <w:pPr>
        <w:jc w:val="both"/>
      </w:pPr>
      <w:r>
        <w:rPr>
          <w:b/>
          <w:sz w:val="21"/>
        </w:rPr>
        <w:t>四、服务内容</w:t>
      </w:r>
    </w:p>
    <w:p>
      <w:pPr>
        <w:ind w:firstLine="470"/>
      </w:pPr>
      <w:r>
        <w:rPr>
          <w:sz w:val="21"/>
        </w:rPr>
        <w:t>乙方须组建人数不少于17人的服务团队，向甲方提供辖区内的建筑工程质量安全监督管理辅助性服务，工作重点是市政工程及农村居民住宅工程安全监督管理的辅助服务工作。具体服务包括：</w:t>
      </w:r>
    </w:p>
    <w:p>
      <w:pPr>
        <w:ind w:firstLine="470"/>
      </w:pPr>
      <w:r>
        <w:rPr>
          <w:sz w:val="21"/>
        </w:rPr>
        <w:t>1、乙方服务团队应根据服务类别分为3个监管小组，每小组不少于5人，并为每组配备一辆车龄在四年（含）内的五座小汽车用于开展巡查工作，合计三辆，车辆产生的所有费用由乙方负责。小组服务人员应具备建设工程安全或质量管理能力，对区域内建设工程的质量情况、安全情况、现场文明施工情况和工地扬尘等情况进行监督管理。对市政工程各工地监督管理每月不少于2次，对农村居民住宅工地监督管理每月不少于1次，对危险性较大的分部分项工程作不定期的专项监督抽查；对近一年发生过生产安全事故的施工企业承接的工程项目或抽查中发现安全隐患较多的工程项目增加抽查次数。</w:t>
      </w:r>
    </w:p>
    <w:p>
      <w:pPr>
        <w:ind w:firstLine="470"/>
      </w:pPr>
      <w:r>
        <w:rPr>
          <w:sz w:val="21"/>
        </w:rPr>
        <w:t>2、乙方服务团队应根据服务类别组建后勤小组，小组不少于2人。</w:t>
      </w:r>
    </w:p>
    <w:p>
      <w:pPr>
        <w:ind w:firstLine="470"/>
      </w:pPr>
      <w:r>
        <w:rPr>
          <w:sz w:val="21"/>
        </w:rPr>
        <w:t>小组服务人员负责建设工程的监管资料收集、汇总，每天及时向甲方报告，每月汇总形成巡查报告，并向甲方报告。</w:t>
      </w:r>
    </w:p>
    <w:p>
      <w:pPr>
        <w:ind w:firstLine="470"/>
      </w:pPr>
      <w:r>
        <w:rPr>
          <w:sz w:val="21"/>
        </w:rPr>
        <w:t>3、完成甲方交代的工作内容。</w:t>
      </w:r>
    </w:p>
    <w:p>
      <w:pPr>
        <w:jc w:val="both"/>
      </w:pPr>
      <w:r>
        <w:rPr>
          <w:b/>
          <w:sz w:val="21"/>
        </w:rPr>
        <w:t>五、狮山镇在建宅基地自建房排查数量估算：</w:t>
      </w:r>
    </w:p>
    <w:tbl>
      <w:tblPr>
        <w:tblW w:w="0" w:type="auto"/>
        <w:tblInd w:type="dxa" w:w="1140"/>
        <w:tblBorders>
          <w:top w:val="none" w:color="000000" w:sz="4"/>
          <w:left w:val="none" w:color="000000" w:sz="4"/>
          <w:bottom w:val="none" w:color="000000" w:sz="4"/>
          <w:right w:val="none" w:color="000000" w:sz="4"/>
          <w:insideH w:val="none"/>
          <w:insideV w:val="none"/>
        </w:tblBorders>
      </w:tblPr>
      <w:tblGrid>
        <w:gridCol w:w="2100"/>
        <w:gridCol w:w="3225"/>
        <w:gridCol w:w="1665"/>
      </w:tblGrid>
      <w:tr>
        <w:tc>
          <w:tcPr>
            <w:tcW w:type="dxa" w:w="2100"/>
            <w:tcBorders>
              <w:top w:val="single" w:color="000000" w:sz="4"/>
              <w:left w:val="single" w:color="000000" w:sz="4"/>
              <w:bottom w:val="single" w:color="000000" w:sz="4"/>
              <w:right w:val="single" w:color="000000" w:sz="4"/>
            </w:tcBorders>
          </w:tcPr>
          <w:p>
            <w:pPr>
              <w:jc w:val="center"/>
            </w:pPr>
            <w:r>
              <w:rPr>
                <w:sz w:val="21"/>
              </w:rPr>
              <w:t>序号</w:t>
            </w:r>
          </w:p>
        </w:tc>
        <w:tc>
          <w:tcPr>
            <w:tcW w:type="dxa" w:w="3225"/>
            <w:tcBorders>
              <w:top w:val="single" w:color="000000" w:sz="4"/>
              <w:left w:val="none" w:color="000000" w:sz="4"/>
              <w:bottom w:val="single" w:color="000000" w:sz="4"/>
              <w:right w:val="single" w:color="000000" w:sz="4"/>
            </w:tcBorders>
          </w:tcPr>
          <w:p>
            <w:pPr>
              <w:jc w:val="center"/>
            </w:pPr>
            <w:r>
              <w:rPr>
                <w:sz w:val="21"/>
              </w:rPr>
              <w:t>片区</w:t>
            </w:r>
          </w:p>
        </w:tc>
        <w:tc>
          <w:tcPr>
            <w:tcW w:type="dxa" w:w="1665"/>
            <w:tcBorders>
              <w:top w:val="single" w:color="000000" w:sz="4"/>
              <w:left w:val="none" w:color="000000" w:sz="4"/>
              <w:bottom w:val="single" w:color="000000" w:sz="4"/>
              <w:right w:val="single" w:color="000000" w:sz="4"/>
            </w:tcBorders>
          </w:tcPr>
          <w:p>
            <w:pPr>
              <w:jc w:val="center"/>
            </w:pPr>
            <w:r>
              <w:rPr>
                <w:sz w:val="21"/>
              </w:rPr>
              <w:t>数量</w:t>
            </w:r>
          </w:p>
        </w:tc>
      </w:tr>
      <w:tr>
        <w:tc>
          <w:tcPr>
            <w:tcW w:type="dxa" w:w="2100"/>
            <w:tcBorders>
              <w:top w:val="none" w:color="000000" w:sz="4"/>
              <w:left w:val="single" w:color="000000" w:sz="4"/>
              <w:bottom w:val="single" w:color="000000" w:sz="4"/>
              <w:right w:val="single" w:color="000000" w:sz="4"/>
            </w:tcBorders>
          </w:tcPr>
          <w:p>
            <w:pPr>
              <w:jc w:val="center"/>
            </w:pPr>
            <w:r>
              <w:rPr>
                <w:sz w:val="21"/>
              </w:rPr>
              <w:t>1</w:t>
            </w:r>
          </w:p>
        </w:tc>
        <w:tc>
          <w:tcPr>
            <w:tcW w:type="dxa" w:w="3225"/>
            <w:tcBorders>
              <w:top w:val="none" w:color="000000" w:sz="4"/>
              <w:left w:val="none" w:color="000000" w:sz="4"/>
              <w:bottom w:val="single" w:color="000000" w:sz="4"/>
              <w:right w:val="single" w:color="000000" w:sz="4"/>
            </w:tcBorders>
          </w:tcPr>
          <w:p>
            <w:pPr>
              <w:jc w:val="center"/>
            </w:pPr>
            <w:r>
              <w:rPr>
                <w:sz w:val="21"/>
              </w:rPr>
              <w:t>官窑</w:t>
            </w:r>
          </w:p>
        </w:tc>
        <w:tc>
          <w:tcPr>
            <w:tcW w:type="dxa" w:w="1665"/>
            <w:tcBorders>
              <w:top w:val="none" w:color="000000" w:sz="4"/>
              <w:left w:val="none" w:color="000000" w:sz="4"/>
              <w:bottom w:val="single" w:color="000000" w:sz="4"/>
              <w:right w:val="single" w:color="000000" w:sz="4"/>
            </w:tcBorders>
          </w:tcPr>
          <w:p>
            <w:pPr>
              <w:jc w:val="center"/>
            </w:pPr>
            <w:r>
              <w:rPr>
                <w:sz w:val="21"/>
              </w:rPr>
              <w:t>300间</w:t>
            </w:r>
          </w:p>
        </w:tc>
      </w:tr>
      <w:tr>
        <w:tc>
          <w:tcPr>
            <w:tcW w:type="dxa" w:w="2100"/>
            <w:tcBorders>
              <w:top w:val="none" w:color="000000" w:sz="4"/>
              <w:left w:val="single" w:color="000000" w:sz="4"/>
              <w:bottom w:val="single" w:color="000000" w:sz="4"/>
              <w:right w:val="single" w:color="000000" w:sz="4"/>
            </w:tcBorders>
          </w:tcPr>
          <w:p>
            <w:pPr>
              <w:jc w:val="center"/>
            </w:pPr>
            <w:r>
              <w:rPr>
                <w:sz w:val="21"/>
              </w:rPr>
              <w:t>2</w:t>
            </w:r>
          </w:p>
        </w:tc>
        <w:tc>
          <w:tcPr>
            <w:tcW w:type="dxa" w:w="3225"/>
            <w:tcBorders>
              <w:top w:val="none" w:color="000000" w:sz="4"/>
              <w:left w:val="none" w:color="000000" w:sz="4"/>
              <w:bottom w:val="single" w:color="000000" w:sz="4"/>
              <w:right w:val="single" w:color="000000" w:sz="4"/>
            </w:tcBorders>
          </w:tcPr>
          <w:p>
            <w:pPr>
              <w:jc w:val="center"/>
            </w:pPr>
            <w:r>
              <w:rPr>
                <w:sz w:val="21"/>
              </w:rPr>
              <w:t>罗村</w:t>
            </w:r>
          </w:p>
        </w:tc>
        <w:tc>
          <w:tcPr>
            <w:tcW w:type="dxa" w:w="1665"/>
            <w:tcBorders>
              <w:top w:val="none" w:color="000000" w:sz="4"/>
              <w:left w:val="none" w:color="000000" w:sz="4"/>
              <w:bottom w:val="single" w:color="000000" w:sz="4"/>
              <w:right w:val="single" w:color="000000" w:sz="4"/>
            </w:tcBorders>
          </w:tcPr>
          <w:p>
            <w:pPr>
              <w:jc w:val="center"/>
            </w:pPr>
            <w:r>
              <w:rPr>
                <w:sz w:val="21"/>
              </w:rPr>
              <w:t>200间</w:t>
            </w:r>
          </w:p>
        </w:tc>
      </w:tr>
      <w:tr>
        <w:tc>
          <w:tcPr>
            <w:tcW w:type="dxa" w:w="2100"/>
            <w:tcBorders>
              <w:top w:val="none" w:color="000000" w:sz="4"/>
              <w:left w:val="single" w:color="000000" w:sz="4"/>
              <w:bottom w:val="single" w:color="000000" w:sz="4"/>
              <w:right w:val="single" w:color="000000" w:sz="4"/>
            </w:tcBorders>
          </w:tcPr>
          <w:p>
            <w:pPr>
              <w:jc w:val="center"/>
            </w:pPr>
            <w:r>
              <w:rPr>
                <w:sz w:val="21"/>
              </w:rPr>
              <w:t>3</w:t>
            </w:r>
          </w:p>
        </w:tc>
        <w:tc>
          <w:tcPr>
            <w:tcW w:type="dxa" w:w="3225"/>
            <w:tcBorders>
              <w:top w:val="none" w:color="000000" w:sz="4"/>
              <w:left w:val="none" w:color="000000" w:sz="4"/>
              <w:bottom w:val="single" w:color="000000" w:sz="4"/>
              <w:right w:val="single" w:color="000000" w:sz="4"/>
            </w:tcBorders>
          </w:tcPr>
          <w:p>
            <w:pPr>
              <w:jc w:val="center"/>
            </w:pPr>
            <w:r>
              <w:rPr>
                <w:sz w:val="21"/>
              </w:rPr>
              <w:t>大圃</w:t>
            </w:r>
          </w:p>
        </w:tc>
        <w:tc>
          <w:tcPr>
            <w:tcW w:type="dxa" w:w="1665"/>
            <w:tcBorders>
              <w:top w:val="none" w:color="000000" w:sz="4"/>
              <w:left w:val="none" w:color="000000" w:sz="4"/>
              <w:bottom w:val="single" w:color="000000" w:sz="4"/>
              <w:right w:val="single" w:color="000000" w:sz="4"/>
            </w:tcBorders>
          </w:tcPr>
          <w:p>
            <w:pPr>
              <w:jc w:val="center"/>
            </w:pPr>
            <w:r>
              <w:rPr>
                <w:sz w:val="21"/>
              </w:rPr>
              <w:t>200间</w:t>
            </w:r>
          </w:p>
        </w:tc>
      </w:tr>
      <w:tr>
        <w:tc>
          <w:tcPr>
            <w:tcW w:type="dxa" w:w="2100"/>
            <w:tcBorders>
              <w:top w:val="none" w:color="000000" w:sz="4"/>
              <w:left w:val="single" w:color="000000" w:sz="4"/>
              <w:bottom w:val="single" w:color="000000" w:sz="4"/>
              <w:right w:val="single" w:color="000000" w:sz="4"/>
            </w:tcBorders>
          </w:tcPr>
          <w:p>
            <w:pPr>
              <w:jc w:val="center"/>
            </w:pPr>
            <w:r>
              <w:rPr>
                <w:sz w:val="21"/>
              </w:rPr>
              <w:t>4</w:t>
            </w:r>
          </w:p>
        </w:tc>
        <w:tc>
          <w:tcPr>
            <w:tcW w:type="dxa" w:w="3225"/>
            <w:tcBorders>
              <w:top w:val="none" w:color="000000" w:sz="4"/>
              <w:left w:val="none" w:color="000000" w:sz="4"/>
              <w:bottom w:val="single" w:color="000000" w:sz="4"/>
              <w:right w:val="single" w:color="000000" w:sz="4"/>
            </w:tcBorders>
          </w:tcPr>
          <w:p>
            <w:pPr>
              <w:jc w:val="center"/>
            </w:pPr>
            <w:r>
              <w:rPr>
                <w:sz w:val="21"/>
              </w:rPr>
              <w:t>小塘</w:t>
            </w:r>
          </w:p>
        </w:tc>
        <w:tc>
          <w:tcPr>
            <w:tcW w:type="dxa" w:w="1665"/>
            <w:tcBorders>
              <w:top w:val="none" w:color="000000" w:sz="4"/>
              <w:left w:val="none" w:color="000000" w:sz="4"/>
              <w:bottom w:val="single" w:color="000000" w:sz="4"/>
              <w:right w:val="single" w:color="000000" w:sz="4"/>
            </w:tcBorders>
          </w:tcPr>
          <w:p>
            <w:pPr>
              <w:jc w:val="center"/>
            </w:pPr>
            <w:r>
              <w:rPr>
                <w:sz w:val="21"/>
              </w:rPr>
              <w:t>200间</w:t>
            </w:r>
          </w:p>
        </w:tc>
      </w:tr>
    </w:tbl>
    <w:p>
      <w:r>
        <w:rPr>
          <w:sz w:val="21"/>
        </w:rPr>
        <w:t>六、辅助监控人员隶属关系、日常工作开展及考核制度：</w:t>
      </w:r>
    </w:p>
    <w:p>
      <w:pPr>
        <w:ind w:firstLine="470"/>
      </w:pPr>
      <w:r>
        <w:rPr>
          <w:sz w:val="21"/>
        </w:rPr>
        <w:t>（一）辅助监管人员隶属关系</w:t>
      </w:r>
    </w:p>
    <w:p>
      <w:pPr>
        <w:ind w:firstLine="470"/>
      </w:pPr>
      <w:r>
        <w:rPr>
          <w:sz w:val="21"/>
        </w:rPr>
        <w:t>1.辅助监管人员为甲方购买的全职服务人员、日常工作安排以甲方决定为准。合同执行期间不负责原公司工作。</w:t>
      </w:r>
    </w:p>
    <w:p>
      <w:pPr>
        <w:ind w:firstLine="470"/>
      </w:pPr>
      <w:r>
        <w:rPr>
          <w:sz w:val="21"/>
        </w:rPr>
        <w:t>2.各组设项目主管（组长）一名，负责所属人员日常管理，根据领导安排和合同规定以周为单位制定工作计划、人员安排，督导指挥所属人员按时完成任务。</w:t>
      </w:r>
    </w:p>
    <w:p>
      <w:pPr>
        <w:ind w:firstLine="470"/>
      </w:pPr>
      <w:r>
        <w:rPr>
          <w:sz w:val="21"/>
        </w:rPr>
        <w:t>3.各组设信息员一名，负责每周工作情况汇总、上报、考核，及其他领导交办的工作。</w:t>
      </w:r>
    </w:p>
    <w:p>
      <w:pPr>
        <w:ind w:firstLine="470"/>
      </w:pPr>
      <w:r>
        <w:rPr>
          <w:sz w:val="21"/>
        </w:rPr>
        <w:t>（二）日常工作开展</w:t>
      </w:r>
    </w:p>
    <w:p>
      <w:pPr>
        <w:ind w:firstLine="470"/>
      </w:pPr>
      <w:r>
        <w:rPr>
          <w:sz w:val="21"/>
        </w:rPr>
        <w:t>1.各组除完成日常巡查计划外，还应完成领导交办的其他任务。</w:t>
      </w:r>
    </w:p>
    <w:p>
      <w:pPr>
        <w:ind w:firstLine="470"/>
      </w:pPr>
      <w:r>
        <w:rPr>
          <w:sz w:val="21"/>
        </w:rPr>
        <w:t>2.各组长以每周为单位制定所属人员工作计划，报所属领导批注后，于前一周四汇总至信息员处备案。同时将经领导审定后的上一周工作完成小结情况一并上报。</w:t>
      </w:r>
    </w:p>
    <w:p>
      <w:pPr>
        <w:ind w:firstLine="470"/>
      </w:pPr>
      <w:r>
        <w:rPr>
          <w:sz w:val="21"/>
        </w:rPr>
        <w:t>3.从事建筑工程巡查：</w:t>
      </w:r>
    </w:p>
    <w:p>
      <w:pPr>
        <w:ind w:firstLine="470"/>
      </w:pPr>
      <w:r>
        <w:rPr>
          <w:sz w:val="21"/>
        </w:rPr>
        <w:t>（1）巡查必须两人或两人以上一组，不得单人执行。巡查人员必须随身佩戴狮山镇城建和水利办盖章的专项工作证件，并主动出示。</w:t>
      </w:r>
    </w:p>
    <w:p>
      <w:pPr>
        <w:ind w:firstLine="470"/>
      </w:pPr>
      <w:r>
        <w:rPr>
          <w:sz w:val="21"/>
        </w:rPr>
        <w:t>（2 ）巡查人员必须对每个巡查工地逐项填写《狮山镇农村宅基地个人自建房检查表》（详见附件1)。</w:t>
      </w:r>
    </w:p>
    <w:p>
      <w:pPr>
        <w:ind w:firstLine="470"/>
      </w:pPr>
      <w:r>
        <w:rPr>
          <w:sz w:val="21"/>
        </w:rPr>
        <w:t>（3）进行工地巡查时必须现场采用“今日水印相机”等软件进行拍照留证。</w:t>
      </w:r>
    </w:p>
    <w:p>
      <w:pPr>
        <w:ind w:firstLine="470"/>
      </w:pPr>
      <w:r>
        <w:rPr>
          <w:sz w:val="21"/>
        </w:rPr>
        <w:t>（4）对上级下发的“工单”所列问题进行排查，并及时回复。</w:t>
      </w:r>
    </w:p>
    <w:p>
      <w:pPr>
        <w:ind w:firstLine="470"/>
      </w:pPr>
      <w:r>
        <w:rPr>
          <w:sz w:val="21"/>
        </w:rPr>
        <w:t>（5）每次巡查结束后应及时将巡查表交与对应信息员汇总。信息员应及时完成扫描巡查表归档，制成电子工作日志和制作巡查统计表。</w:t>
      </w:r>
    </w:p>
    <w:p>
      <w:pPr>
        <w:ind w:firstLine="470"/>
      </w:pPr>
      <w:r>
        <w:rPr>
          <w:sz w:val="21"/>
        </w:rPr>
        <w:t>（6）对巡查过程中发现违规情况，现场指出、详细拍照登记、并督促整改。对发现的违法线索，应第一时间拍照留存并通过本组组长与对应执法人员联系及时处理。</w:t>
      </w:r>
    </w:p>
    <w:p>
      <w:pPr>
        <w:ind w:firstLine="470"/>
      </w:pPr>
      <w:r>
        <w:rPr>
          <w:sz w:val="21"/>
        </w:rPr>
        <w:t>（7）城建和水利办组织随机对上周巡查工作进行抽查，主要考核巡查工作是否发现了问题，是否有走过程的现场。</w:t>
      </w:r>
    </w:p>
    <w:p>
      <w:pPr>
        <w:ind w:firstLine="470"/>
      </w:pPr>
      <w:r>
        <w:rPr>
          <w:sz w:val="21"/>
        </w:rPr>
        <w:t>（三）考核制度</w:t>
      </w:r>
    </w:p>
    <w:p>
      <w:pPr>
        <w:ind w:firstLine="470"/>
      </w:pPr>
      <w:r>
        <w:rPr>
          <w:sz w:val="21"/>
        </w:rPr>
        <w:t>1.考核工作每月进行一次。</w:t>
      </w:r>
    </w:p>
    <w:p>
      <w:pPr>
        <w:ind w:firstLine="470"/>
      </w:pPr>
      <w:r>
        <w:rPr>
          <w:sz w:val="21"/>
        </w:rPr>
        <w:t>2.考核佐证材料：月工作规划、周工作计划、周工作小结、月工作总结；电子工作日志、汇总表；抽查情况、发现违规问题及时整改情况；发现违法问题线索及处理情况。</w:t>
      </w:r>
    </w:p>
    <w:p>
      <w:pPr>
        <w:jc w:val="both"/>
      </w:pPr>
      <w:r>
        <w:rPr>
          <w:b/>
          <w:sz w:val="21"/>
        </w:rPr>
        <w:t>七、乙方职责</w:t>
      </w:r>
    </w:p>
    <w:p>
      <w:pPr>
        <w:ind w:firstLine="470"/>
      </w:pPr>
      <w:r>
        <w:rPr>
          <w:sz w:val="21"/>
        </w:rPr>
        <w:t>1、按照合同约定的服务内容、服务数量、服务质量提供服务。在项目的实施过程中，乙方要安排优秀的服务人员提供服务，对项目的服务工作要进行跟踪管理，服务项目不得转让其他主体。</w:t>
      </w:r>
    </w:p>
    <w:p>
      <w:pPr>
        <w:ind w:firstLine="470"/>
      </w:pPr>
      <w:r>
        <w:rPr>
          <w:sz w:val="21"/>
        </w:rPr>
        <w:t>2、建立政府购买服务台账，依照有关规定或约定记录保存并向釆购人提供项目实施相关重要资料信息，包括但不仅限于服务人员个人档案。</w:t>
      </w:r>
    </w:p>
    <w:p>
      <w:pPr>
        <w:ind w:firstLine="470"/>
      </w:pPr>
      <w:r>
        <w:rPr>
          <w:sz w:val="21"/>
        </w:rPr>
        <w:t>3、乙方应在甲方的总体指导下开展工作，严格遵守釆购人相关制度，工作规范，规范各项管理，接受釆购人监督检查与绩效评价。</w:t>
      </w:r>
    </w:p>
    <w:p>
      <w:pPr>
        <w:ind w:firstLine="470"/>
      </w:pPr>
      <w:r>
        <w:rPr>
          <w:sz w:val="21"/>
        </w:rPr>
        <w:t>4、按照合同约定向甲方收取服务款项。</w:t>
      </w:r>
    </w:p>
    <w:p>
      <w:pPr>
        <w:ind w:firstLine="470"/>
      </w:pPr>
      <w:r>
        <w:rPr>
          <w:sz w:val="21"/>
        </w:rPr>
        <w:t>5、服务团队人员要求：</w:t>
      </w:r>
    </w:p>
    <w:p>
      <w:pPr>
        <w:ind w:firstLine="470"/>
      </w:pPr>
      <w:r>
        <w:rPr>
          <w:sz w:val="21"/>
        </w:rPr>
        <w:t>服务团队人员17人，从合同生效之日起10日内全部岗位要满员到岗。</w:t>
      </w:r>
    </w:p>
    <w:p>
      <w:pPr>
        <w:ind w:firstLine="470"/>
      </w:pPr>
      <w:r>
        <w:rPr>
          <w:sz w:val="21"/>
        </w:rPr>
        <w:t>（1）品行端正，诚实守信，遵纪守法，作风正派，有较强的工作责任心；</w:t>
      </w:r>
    </w:p>
    <w:p>
      <w:pPr>
        <w:ind w:firstLine="470"/>
      </w:pPr>
      <w:r>
        <w:rPr>
          <w:sz w:val="21"/>
        </w:rPr>
        <w:t>（2）身体健康，无传染性、精神性、不可治愈性以及其它严重疾病，能坚持正常工作；一般应当年满20周岁并不超过35周岁，证件齐全，未违反国家计划生育政策，获得专业技术职称的可放宽到45岁；</w:t>
      </w:r>
    </w:p>
    <w:p>
      <w:pPr>
        <w:ind w:firstLine="470"/>
      </w:pPr>
      <w:r>
        <w:rPr>
          <w:sz w:val="21"/>
        </w:rPr>
        <w:t>（3）一般要求本科及以上学历，具有建筑工程管理类、中文法律类等相关专业，能履行职责并胜任本岗位工作；</w:t>
      </w:r>
    </w:p>
    <w:p>
      <w:pPr>
        <w:ind w:firstLine="470"/>
      </w:pPr>
      <w:r>
        <w:rPr>
          <w:sz w:val="21"/>
        </w:rPr>
        <w:t>（4）具有一定的口头和文字表达能力以及计算机操作技能；</w:t>
      </w:r>
    </w:p>
    <w:p>
      <w:pPr>
        <w:ind w:firstLine="470"/>
      </w:pPr>
      <w:r>
        <w:rPr>
          <w:sz w:val="21"/>
        </w:rPr>
        <w:t>（5）与第三方不存在劳动、人事关系。</w:t>
      </w:r>
    </w:p>
    <w:p>
      <w:pPr>
        <w:ind w:firstLine="470"/>
      </w:pPr>
      <w:r>
        <w:rPr>
          <w:sz w:val="21"/>
        </w:rPr>
        <w:t>6、组织管理：</w:t>
      </w:r>
    </w:p>
    <w:p>
      <w:pPr>
        <w:ind w:firstLine="470"/>
      </w:pPr>
      <w:r>
        <w:rPr>
          <w:sz w:val="21"/>
        </w:rPr>
        <w:t>（1）乙方服务团队人员政治和业务素质符合项目条件要求，社会服务工作业绩突出，工作积极向上。中标人项目管理人员要具有社会服务管理工作经验，加强对项目服务的跟踪管理和监督，确保服务工作的正常实施。</w:t>
      </w:r>
    </w:p>
    <w:p>
      <w:pPr>
        <w:ind w:firstLine="470"/>
      </w:pPr>
      <w:r>
        <w:rPr>
          <w:sz w:val="21"/>
        </w:rPr>
        <w:t>（2）乙方要严格执行项目服务的考勤制度，服务人员不得擅离工作岗位，不允许缺人缺岗，如因服务人员离职造成人员不足时，乙方应及时与釆购人沟通，并采取补救措施，及时补充合格替代人选，保证项目服务的连续性。</w:t>
      </w:r>
    </w:p>
    <w:p>
      <w:pPr>
        <w:ind w:firstLine="470"/>
      </w:pPr>
      <w:r>
        <w:rPr>
          <w:sz w:val="21"/>
        </w:rPr>
        <w:t>（3）乙方的服务体系和服务组织管理架构，必须适应本项目服务需求，必须具有提供社会服务的保障能力，法治文化建设基础好，有良好的社会服务基础，履约能力强。企业内部的组织架构健全，或应建立党支部和工会组织，加强对项目服务的领导核心和保障力量。日常的各项服务及管理应在响应文件提交的方案中体现。</w:t>
      </w:r>
    </w:p>
    <w:p>
      <w:pPr>
        <w:ind w:firstLine="470"/>
      </w:pPr>
      <w:r>
        <w:rPr>
          <w:sz w:val="21"/>
        </w:rPr>
        <w:t>（4）乙方必须严格遵照国家有关法律、法规、规章和规定的要求，与服务团队人员签订劳动合同，建立劳动关系，为其缴纳各种社会保险和住房公积金。有关服务人员的工作时间和休息、休假、工资福利等按国家规定执行，保障服务人员合法权益，建立和谐的劳动关系。</w:t>
      </w:r>
    </w:p>
    <w:p>
      <w:pPr>
        <w:ind w:firstLine="470"/>
      </w:pPr>
      <w:r>
        <w:rPr>
          <w:sz w:val="21"/>
        </w:rPr>
        <w:t>（5）项目服务工作必须贯彻执行国家“安全第一”的政策，乙方必须有一定的安全工作管理能力和工作经验，确保项目人身安全。乙方要安排具有安全培训资质的管理人员对项目服务人员进行安全培训教育，防止和避免工伤事故发生。如在项目实施过程中发生工伤事故，由乙方依法向有关部门申报和进行善后处理。</w:t>
      </w:r>
    </w:p>
    <w:p>
      <w:pPr>
        <w:ind w:firstLine="470"/>
      </w:pPr>
      <w:r>
        <w:rPr>
          <w:sz w:val="21"/>
        </w:rPr>
        <w:t>（6）乙方服务团队在提供服务前，需向甲方提供相关人员的信息资料（含身份证、学历等信息）备案，未经甲方同意，不得擅自进入服务场所。服务团队人员如需变更或暂离岗位的，乙方应提前15天以书面形式告知甲方，并经甲方同意。如甲方认为服务团队人员不能适应工作要求的，中标人需及时进行更换。</w:t>
      </w:r>
    </w:p>
    <w:p>
      <w:pPr>
        <w:ind w:firstLine="470"/>
      </w:pPr>
      <w:r>
        <w:rPr>
          <w:sz w:val="21"/>
        </w:rPr>
        <w:t>（7）乙方因履行服务合同与甲方以外的第三方发生的任何纠纷，由乙方承担相应责任，与甲方无关。未经甲方同意，乙方不得将服务项目发包或转包他人，否则将视为乙方违约，甲方可以单方面解除合同。</w:t>
      </w:r>
    </w:p>
    <w:p>
      <w:pPr>
        <w:ind w:firstLine="470"/>
      </w:pPr>
      <w:r>
        <w:rPr>
          <w:sz w:val="21"/>
        </w:rPr>
        <w:t>（8）乙方应做好服务人员的组织和管理，要求派驻的服务人员坚守岗位、履行职责、依法依规、保守甲方项目工作机密，维护甲方的合法权益。</w:t>
      </w:r>
    </w:p>
    <w:p>
      <w:pPr>
        <w:ind w:firstLine="470"/>
      </w:pPr>
      <w:r>
        <w:rPr>
          <w:sz w:val="21"/>
        </w:rPr>
        <w:t>（9）甲方有权对乙方不规范的服务行为作出责令整改，乙方必须积极配合。</w:t>
      </w:r>
    </w:p>
    <w:p>
      <w:pPr>
        <w:ind w:firstLine="470"/>
      </w:pPr>
      <w:r>
        <w:rPr>
          <w:sz w:val="21"/>
        </w:rPr>
        <w:t>（10）乙方必须完成甲方交办的有关事项。</w:t>
      </w:r>
    </w:p>
    <w:p>
      <w:pPr>
        <w:jc w:val="both"/>
      </w:pPr>
      <w:r>
        <w:rPr>
          <w:b/>
          <w:sz w:val="21"/>
        </w:rPr>
        <w:t>八、服务对照执行标准：</w:t>
      </w:r>
    </w:p>
    <w:p>
      <w:pPr>
        <w:ind w:firstLine="424"/>
        <w:jc w:val="both"/>
      </w:pPr>
      <w:r>
        <w:rPr>
          <w:sz w:val="21"/>
        </w:rPr>
        <w:t>1</w:t>
      </w:r>
      <w:r>
        <w:rPr>
          <w:sz w:val="21"/>
        </w:rPr>
        <w:t>、符合中华人民共和国国家和履约地相关安全质量标准、行业技术规范标准；</w:t>
      </w:r>
    </w:p>
    <w:p>
      <w:pPr>
        <w:ind w:firstLine="424"/>
        <w:jc w:val="both"/>
      </w:pPr>
      <w:r>
        <w:rPr>
          <w:sz w:val="21"/>
        </w:rPr>
        <w:t>2</w:t>
      </w:r>
      <w:r>
        <w:rPr>
          <w:sz w:val="21"/>
        </w:rPr>
        <w:t>、符合采购文件和响应承诺中各方共同认可的合理要求；</w:t>
      </w:r>
    </w:p>
    <w:p>
      <w:pPr>
        <w:ind w:firstLine="420"/>
        <w:jc w:val="both"/>
      </w:pPr>
      <w:r>
        <w:rPr>
          <w:sz w:val="21"/>
        </w:rPr>
        <w:t>上述各类标准与法规必须是有关官方机构最新发布的现行标准版本。</w:t>
      </w:r>
    </w:p>
    <w:p>
      <w:pPr>
        <w:jc w:val="both"/>
      </w:pPr>
      <w:r>
        <w:rPr>
          <w:b/>
          <w:sz w:val="21"/>
        </w:rPr>
        <w:t>九、投诉跟踪服务要求：</w:t>
      </w:r>
    </w:p>
    <w:p>
      <w:pPr>
        <w:ind w:firstLine="424"/>
        <w:jc w:val="both"/>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24"/>
        <w:jc w:val="both"/>
      </w:pPr>
      <w:r>
        <w:rPr>
          <w:sz w:val="21"/>
        </w:rPr>
        <w:t>2</w:t>
      </w:r>
      <w:r>
        <w:rPr>
          <w:sz w:val="21"/>
        </w:rPr>
        <w:t>、服务期内，甲方有权按本项目的管理要求对乙方进行不定期抽查检查，若对不合格的管理服务提出警告后，仍未得到有效解决时，甲方有权终止管理合同。</w:t>
      </w:r>
    </w:p>
    <w:p>
      <w:pPr>
        <w:ind w:firstLine="424"/>
        <w:jc w:val="both"/>
      </w:pPr>
      <w:r>
        <w:rPr>
          <w:sz w:val="21"/>
        </w:rPr>
        <w:t>3</w:t>
      </w:r>
      <w:r>
        <w:rPr>
          <w:sz w:val="21"/>
        </w:rPr>
        <w:t>、乙方服务机构名称及地址：</w:t>
      </w:r>
    </w:p>
    <w:p>
      <w:pPr>
        <w:ind w:firstLine="420"/>
        <w:jc w:val="both"/>
      </w:pPr>
      <w:r>
        <w:rPr>
          <w:sz w:val="21"/>
        </w:rPr>
        <w:t>联系人1：          ，联系电话：            ，手机：          ；</w:t>
      </w:r>
    </w:p>
    <w:p>
      <w:pPr>
        <w:ind w:firstLine="420"/>
        <w:jc w:val="both"/>
      </w:pPr>
      <w:r>
        <w:rPr>
          <w:sz w:val="21"/>
        </w:rPr>
        <w:t>联系人2：          ，联系电话：            ，手机：          ；</w:t>
      </w:r>
    </w:p>
    <w:p>
      <w:pPr>
        <w:ind w:firstLine="420"/>
        <w:jc w:val="both"/>
      </w:pPr>
      <w:r>
        <w:rPr>
          <w:sz w:val="21"/>
        </w:rPr>
        <w:t>服务专线电话：</w:t>
      </w:r>
    </w:p>
    <w:p>
      <w:pPr>
        <w:ind w:firstLine="424"/>
        <w:jc w:val="both"/>
      </w:pPr>
      <w:r>
        <w:rPr>
          <w:sz w:val="21"/>
        </w:rPr>
        <w:t>4</w:t>
      </w:r>
      <w:r>
        <w:rPr>
          <w:sz w:val="21"/>
        </w:rPr>
        <w:t>、其他服务要求：（补充内容不得对采购文件和投标/响应文件作实质性修改）</w:t>
      </w:r>
    </w:p>
    <w:p>
      <w:pPr>
        <w:jc w:val="both"/>
      </w:pPr>
      <w:r>
        <w:rPr>
          <w:sz w:val="22"/>
          <w:u w:val="single"/>
        </w:rPr>
        <w:t xml:space="preserve">                                                                </w:t>
      </w:r>
      <w:r>
        <w:rPr>
          <w:sz w:val="21"/>
          <w:u w:val="single"/>
        </w:rPr>
        <w:t>。</w:t>
      </w:r>
    </w:p>
    <w:p>
      <w:pPr>
        <w:jc w:val="both"/>
      </w:pPr>
      <w:r>
        <w:rPr>
          <w:b/>
          <w:sz w:val="21"/>
        </w:rPr>
        <w:t>十、违约责任：</w:t>
      </w:r>
    </w:p>
    <w:p>
      <w:pPr>
        <w:ind w:firstLine="424"/>
      </w:pPr>
      <w:r>
        <w:rPr/>
        <w:t>1</w:t>
      </w:r>
      <w:r>
        <w:rPr/>
        <w:t>）甲、乙双方在履行本协议过程中，如因其中一方未有完全履行本合同内容而造成另一方直接或间接的经济损失的，由过错方承担责任。</w:t>
      </w:r>
    </w:p>
    <w:p>
      <w:pPr>
        <w:ind w:firstLine="424"/>
      </w:pPr>
      <w:r>
        <w:rPr/>
        <w:t>2</w:t>
      </w:r>
      <w:r>
        <w:rPr/>
        <w:t>）乙方提供的服务不符合本合同规定的，甲方有权拒收，并按狮山镇建筑工程质量安全监督服务办法处理。</w:t>
      </w:r>
    </w:p>
    <w:p>
      <w:pPr>
        <w:ind w:firstLine="424"/>
      </w:pPr>
      <w:r>
        <w:rPr/>
        <w:t>3</w:t>
      </w:r>
      <w:r>
        <w:rPr/>
        <w:t>）甲方无正当理由逾期付款，则每日按当月服务费总价3‰向乙方偿付违约金。</w:t>
      </w:r>
    </w:p>
    <w:p>
      <w:pPr>
        <w:ind w:firstLine="424"/>
      </w:pPr>
      <w:r>
        <w:rPr/>
        <w:t>4</w:t>
      </w:r>
      <w:r>
        <w:rPr/>
        <w:t>）其它违约责任按《中华人民共和国民法典》处理。</w:t>
      </w:r>
    </w:p>
    <w:p>
      <w:pPr>
        <w:jc w:val="both"/>
      </w:pPr>
      <w:r>
        <w:rPr>
          <w:b/>
          <w:sz w:val="21"/>
        </w:rPr>
        <w:t>十一、提出异议的时间和方法：</w:t>
      </w:r>
    </w:p>
    <w:p>
      <w:pPr>
        <w:ind w:firstLine="424"/>
        <w:jc w:val="both"/>
      </w:pPr>
      <w:r>
        <w:rPr>
          <w:sz w:val="21"/>
        </w:rPr>
        <w:t>1</w:t>
      </w:r>
      <w:r>
        <w:rPr>
          <w:sz w:val="21"/>
        </w:rPr>
        <w:t>、甲方有异议时，应天内向乙方提出书面异议。</w:t>
      </w:r>
    </w:p>
    <w:p>
      <w:pPr>
        <w:ind w:firstLine="424"/>
        <w:jc w:val="both"/>
      </w:pPr>
      <w:r>
        <w:rPr>
          <w:sz w:val="21"/>
        </w:rPr>
        <w:t>2</w:t>
      </w:r>
      <w:r>
        <w:rPr>
          <w:sz w:val="21"/>
        </w:rPr>
        <w:t>、乙方在接到甲方书面异议后，应在3天内负责处理并函复甲方处理情况，否则，即视为默认甲方提出的异议和处理意见。</w:t>
      </w:r>
    </w:p>
    <w:p>
      <w:pPr>
        <w:ind w:firstLine="424"/>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sz w:val="21"/>
        </w:rPr>
        <w:t>十二、争议的解决：</w:t>
      </w:r>
    </w:p>
    <w:p>
      <w:pPr>
        <w:ind w:firstLine="424"/>
        <w:jc w:val="both"/>
      </w:pPr>
      <w:r>
        <w:rPr>
          <w:sz w:val="21"/>
        </w:rPr>
        <w:t>1</w:t>
      </w:r>
      <w:r>
        <w:rPr>
          <w:sz w:val="21"/>
        </w:rPr>
        <w:t>、合同履行过程中发生的任何争议，如双方未能通过友好协商解决，应向佛山市有管辖权的人民法院提起诉讼。</w:t>
      </w:r>
    </w:p>
    <w:p>
      <w:pPr>
        <w:ind w:firstLine="424"/>
        <w:jc w:val="both"/>
      </w:pPr>
      <w:r>
        <w:rPr>
          <w:sz w:val="21"/>
        </w:rPr>
        <w:t>2</w:t>
      </w:r>
      <w:r>
        <w:rPr>
          <w:sz w:val="21"/>
        </w:rPr>
        <w:t>、法院审理期间，除提交法院审理的事项外，其它无争议的事项和条款仍应继续履行。</w:t>
      </w:r>
    </w:p>
    <w:p>
      <w:pPr>
        <w:jc w:val="both"/>
      </w:pPr>
      <w:r>
        <w:rPr>
          <w:b/>
          <w:sz w:val="21"/>
        </w:rPr>
        <w:t>十三、不可抗力：</w:t>
      </w:r>
    </w:p>
    <w:p>
      <w:pPr>
        <w:ind w:firstLine="420"/>
        <w:jc w:val="both"/>
      </w:pPr>
      <w:r>
        <w:rPr>
          <w:sz w:val="21"/>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十四、税费：</w:t>
      </w:r>
    </w:p>
    <w:p>
      <w:pPr>
        <w:ind w:firstLine="424"/>
        <w:jc w:val="both"/>
      </w:pPr>
      <w:r>
        <w:rPr>
          <w:sz w:val="21"/>
        </w:rPr>
        <w:t>1</w:t>
      </w:r>
      <w:r>
        <w:rPr>
          <w:sz w:val="21"/>
        </w:rPr>
        <w:t>、本合同实施过程中所发生的一切税费及不可预见费均由乙方承担。</w:t>
      </w:r>
    </w:p>
    <w:p>
      <w:pPr>
        <w:ind w:firstLine="424"/>
        <w:jc w:val="both"/>
      </w:pPr>
      <w:r>
        <w:rPr>
          <w:sz w:val="21"/>
        </w:rPr>
        <w:t>2</w:t>
      </w:r>
      <w:r>
        <w:rPr>
          <w:sz w:val="21"/>
        </w:rPr>
        <w:t>、乙方依照税务规章优先在合同履约地开具发票及纳税，咨询：0757-12366。</w:t>
      </w:r>
    </w:p>
    <w:p>
      <w:pPr>
        <w:jc w:val="both"/>
      </w:pPr>
      <w:r>
        <w:rPr>
          <w:b/>
          <w:sz w:val="21"/>
        </w:rPr>
        <w:t>十五、合同生效与合同备案：</w:t>
      </w:r>
    </w:p>
    <w:p>
      <w:pPr>
        <w:ind w:firstLine="424"/>
        <w:jc w:val="both"/>
      </w:pPr>
      <w:r>
        <w:rPr>
          <w:sz w:val="21"/>
        </w:rPr>
        <w:t>1</w:t>
      </w:r>
      <w:r>
        <w:rPr>
          <w:sz w:val="21"/>
        </w:rPr>
        <w:t>、本合同在甲乙双方法人代表或其授权代表签字盖章后生效。</w:t>
      </w:r>
    </w:p>
    <w:p>
      <w:pPr>
        <w:ind w:firstLine="424"/>
        <w:jc w:val="both"/>
      </w:pPr>
      <w:r>
        <w:rPr>
          <w:sz w:val="21"/>
        </w:rPr>
        <w:t>2</w:t>
      </w:r>
      <w:r>
        <w:rPr>
          <w:sz w:val="21"/>
        </w:rPr>
        <w:t>、自采购合同签订之日起7个工作日内，由甲方按照有关规定将采购合同副本报同级人民政府财政部门（政府采购管理部门）备案。</w:t>
      </w:r>
    </w:p>
    <w:p>
      <w:pPr>
        <w:jc w:val="both"/>
      </w:pPr>
      <w:r>
        <w:rPr>
          <w:b/>
          <w:sz w:val="21"/>
        </w:rPr>
        <w:t>十六、乙方应提供的资料内容：</w:t>
      </w:r>
    </w:p>
    <w:p>
      <w:pPr>
        <w:jc w:val="both"/>
      </w:pPr>
      <w:r>
        <w:rPr>
          <w:sz w:val="22"/>
          <w:u w:val="single"/>
        </w:rPr>
        <w:t xml:space="preserve">                                                                </w:t>
      </w:r>
      <w:r>
        <w:rPr>
          <w:sz w:val="21"/>
          <w:u w:val="single"/>
        </w:rPr>
        <w:t>。</w:t>
      </w:r>
    </w:p>
    <w:p>
      <w:pPr>
        <w:jc w:val="both"/>
      </w:pPr>
      <w:r>
        <w:rPr>
          <w:b/>
          <w:sz w:val="21"/>
        </w:rPr>
        <w:t>十七、关于政府采购合同融资</w:t>
      </w:r>
    </w:p>
    <w:p>
      <w:pPr>
        <w:ind w:firstLine="424"/>
        <w:jc w:val="both"/>
      </w:pPr>
      <w:r>
        <w:rPr>
          <w:sz w:val="21"/>
        </w:rPr>
        <w:t>1</w:t>
      </w:r>
      <w:r>
        <w:rPr>
          <w:sz w:val="21"/>
        </w:rPr>
        <w:t>、乙方是否已申请政府采购合同融资：</w:t>
      </w:r>
      <w:r>
        <w:rPr>
          <w:sz w:val="21"/>
          <w:u w:val="single"/>
        </w:rPr>
        <w:t xml:space="preserve"> 是  / 否 </w:t>
      </w:r>
      <w:r>
        <w:rPr>
          <w:sz w:val="21"/>
        </w:rPr>
        <w:t>；</w:t>
      </w:r>
    </w:p>
    <w:p>
      <w:pPr>
        <w:jc w:val="both"/>
      </w:pPr>
      <w:r>
        <w:rPr>
          <w:sz w:val="21"/>
        </w:rPr>
        <w:t>融资银行及联系方式：</w:t>
      </w:r>
      <w:r>
        <w:rPr>
          <w:sz w:val="22"/>
          <w:u w:val="single"/>
        </w:rPr>
        <w:t xml:space="preserve">                                                                </w:t>
      </w:r>
      <w:r>
        <w:rPr>
          <w:sz w:val="21"/>
          <w:u w:val="single"/>
        </w:rPr>
        <w:t>。</w:t>
      </w:r>
    </w:p>
    <w:p>
      <w:pPr>
        <w:ind w:firstLine="424"/>
        <w:jc w:val="both"/>
      </w:pPr>
      <w:r>
        <w:rPr>
          <w:sz w:val="21"/>
        </w:rPr>
        <w:t>2</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sz w:val="21"/>
        </w:rPr>
        <w:t>。</w:t>
      </w:r>
    </w:p>
    <w:p>
      <w:pPr>
        <w:jc w:val="both"/>
      </w:pPr>
      <w:r>
        <w:rPr>
          <w:b/>
          <w:sz w:val="21"/>
        </w:rPr>
        <w:t>十八、其它：</w:t>
      </w:r>
    </w:p>
    <w:p>
      <w:pPr>
        <w:ind w:firstLine="424"/>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ind w:firstLine="424"/>
        <w:jc w:val="both"/>
      </w:pPr>
      <w:r>
        <w:rPr>
          <w:sz w:val="21"/>
        </w:rPr>
        <w:t>2</w:t>
      </w:r>
      <w:r>
        <w:rPr>
          <w:sz w:val="21"/>
        </w:rPr>
        <w:t>、如一方（包括联系人）地址、电话、传真号码有变更，应在变更后3个工作日内书面通知对方联系人或负责人，否则，因此造成的损失由未履行通知义务方承担相应责任。</w:t>
      </w:r>
    </w:p>
    <w:p>
      <w:pPr>
        <w:ind w:firstLine="424"/>
        <w:jc w:val="both"/>
      </w:pPr>
      <w:r>
        <w:rPr>
          <w:sz w:val="21"/>
        </w:rPr>
        <w:t>3</w:t>
      </w:r>
      <w:r>
        <w:rPr>
          <w:sz w:val="21"/>
        </w:rPr>
        <w:t>、未经甲方书面同意，乙方不得擅自向第三方转让其主体性和关键性合同义务。</w:t>
      </w:r>
    </w:p>
    <w:p>
      <w:pPr>
        <w:ind w:firstLine="424"/>
        <w:jc w:val="both"/>
      </w:pPr>
      <w:r>
        <w:rPr>
          <w:sz w:val="21"/>
        </w:rPr>
        <w:t>4</w:t>
      </w:r>
      <w:r>
        <w:rPr>
          <w:sz w:val="21"/>
        </w:rPr>
        <w:t>、本合同一式份，甲方执份，乙方执份，鉴证单位执壹份。</w:t>
      </w:r>
    </w:p>
    <w:p>
      <w:pPr>
        <w:ind w:firstLine="424"/>
        <w:jc w:val="both"/>
      </w:pPr>
      <w:r>
        <w:rPr>
          <w:sz w:val="21"/>
        </w:rPr>
        <w:t>5</w:t>
      </w:r>
      <w:r>
        <w:rPr>
          <w:sz w:val="21"/>
        </w:rPr>
        <w:t>、本合同（含附件）共计页，缺页之合同为无效合同。</w:t>
      </w:r>
    </w:p>
    <w:p>
      <w:pPr>
        <w:ind w:firstLine="424"/>
        <w:jc w:val="both"/>
      </w:pPr>
      <w:r>
        <w:rPr>
          <w:sz w:val="21"/>
        </w:rPr>
        <w:t>6</w:t>
      </w:r>
      <w:r>
        <w:rPr>
          <w:sz w:val="21"/>
        </w:rPr>
        <w:t>、本合同签约履约地点：广东省佛山市。</w:t>
      </w:r>
    </w:p>
    <w:p>
      <w:pPr>
        <w:ind w:firstLine="424"/>
        <w:jc w:val="both"/>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ind w:firstLine="424"/>
        <w:jc w:val="both"/>
      </w:pPr>
      <w:r>
        <w:rPr>
          <w:sz w:val="21"/>
        </w:rPr>
        <w:t>8</w:t>
      </w:r>
      <w:r>
        <w:rPr>
          <w:sz w:val="21"/>
        </w:rPr>
        <w:t>、双方均已对以上各条款及附件作充分了解，并明确理解由此而产生的相关权责。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05"/>
        <w:gridCol w:w="3944"/>
        <w:gridCol w:w="156"/>
      </w:tblGrid>
      <w:tr>
        <w:tc>
          <w:tcPr>
            <w:tcW w:type="dxa" w:w="4205"/>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日期：年月日</w:t>
            </w:r>
          </w:p>
        </w:tc>
        <w:tc>
          <w:tcPr>
            <w:tcW w:type="dxa" w:w="3944"/>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日期：年月日</w:t>
            </w:r>
          </w:p>
        </w:tc>
        <w:tc>
          <w:tcPr>
            <w:tcW w:type="dxa" w:w="156"/>
            <w:tcBorders>
              <w:top w:val="none" w:color="000000" w:sz="4"/>
              <w:left w:val="none" w:color="000000" w:sz="4"/>
              <w:bottom w:val="none" w:color="000000" w:sz="4"/>
              <w:right w:val="none" w:color="000000" w:sz="4"/>
            </w:tcBorders>
          </w:tcPr>
          <w:p>
            <w:r>
              <w:rPr>
                <w:sz w:val="22"/>
              </w:rPr>
              <w:t xml:space="preserve"> </w:t>
            </w:r>
          </w:p>
        </w:tc>
      </w:tr>
      <w:tr>
        <w:tc>
          <w:tcPr>
            <w:tcW w:type="dxa" w:w="4205"/>
            <w:tcBorders>
              <w:top w:val="none" w:color="000000" w:sz="4"/>
              <w:left w:val="none" w:color="000000" w:sz="4"/>
              <w:bottom w:val="single" w:color="FFFFFF" w:sz="4"/>
              <w:right w:val="dashed" w:color="000000" w:sz="4"/>
            </w:tcBorders>
            <w:vAlign w:val="top"/>
          </w:tcPr>
          <w:p>
            <w:pPr>
              <w:jc w:val="both"/>
            </w:pPr>
          </w:p>
          <w:p>
            <w:pPr>
              <w:jc w:val="both"/>
            </w:pPr>
          </w:p>
        </w:tc>
        <w:tc>
          <w:tcPr>
            <w:tcW w:type="dxa" w:w="4100"/>
            <w:gridSpan w:val="2"/>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收款方、开票方须与乙方一致，专户为：</w:t>
            </w:r>
          </w:p>
          <w:p>
            <w:pPr>
              <w:jc w:val="both"/>
            </w:pPr>
            <w:r>
              <w:rPr>
                <w:sz w:val="21"/>
              </w:rPr>
              <w:t>开户名称：</w:t>
            </w:r>
          </w:p>
          <w:p>
            <w:pPr>
              <w:jc w:val="both"/>
            </w:pPr>
            <w:r>
              <w:rPr>
                <w:sz w:val="21"/>
              </w:rPr>
              <w:t>银行账号：</w:t>
            </w:r>
          </w:p>
          <w:p>
            <w:pPr>
              <w:jc w:val="both"/>
            </w:pPr>
            <w:r>
              <w:rPr>
                <w:sz w:val="21"/>
              </w:rPr>
              <w:t>开户行：</w:t>
            </w:r>
          </w:p>
        </w:tc>
      </w:tr>
    </w:tbl>
    <w:p>
      <w:pPr>
        <w:jc w:val="both"/>
      </w:pPr>
    </w:p>
    <w:p>
      <w:pPr>
        <w:jc w:val="both"/>
      </w:pPr>
      <w:r>
        <w:rPr>
          <w:b/>
          <w:sz w:val="21"/>
        </w:rPr>
        <w:t>鉴证单位：佛山市伟源招标代理有限公司</w:t>
      </w:r>
    </w:p>
    <w:p>
      <w:pPr>
        <w:jc w:val="both"/>
      </w:pPr>
      <w:r>
        <w:rPr>
          <w:sz w:val="21"/>
        </w:rPr>
        <w:t>经核对，合同条款与采购文件一致。</w:t>
      </w:r>
    </w:p>
    <w:p>
      <w:pPr>
        <w:jc w:val="both"/>
      </w:pPr>
      <w:r>
        <w:rPr>
          <w:sz w:val="21"/>
        </w:rPr>
        <w:t>鉴证日期：年月日</w:t>
      </w:r>
    </w:p>
    <w:p>
      <w:pPr>
        <w:jc w:val="both"/>
      </w:pPr>
    </w:p>
    <w:p>
      <w:pPr>
        <w:jc w:val="both"/>
      </w:pPr>
    </w:p>
    <w:p>
      <w:pPr>
        <w:jc w:val="both"/>
      </w:pPr>
      <w:r>
        <w:rPr>
          <w:b/>
          <w:sz w:val="21"/>
        </w:rPr>
        <w:t>合同附件清单：</w:t>
      </w:r>
    </w:p>
    <w:p>
      <w:pPr>
        <w:jc w:val="both"/>
      </w:pPr>
      <w:r>
        <w:rPr>
          <w:b/>
          <w:sz w:val="21"/>
        </w:rPr>
        <w:t>附件一、《报价清单明细表》</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440605-2022-07799</w:t>
      </w:r>
    </w:p>
    <w:p>
      <w:pPr>
        <w:jc w:val="center"/>
      </w:pPr>
      <w:r>
        <w:rPr>
          <w:b/>
          <w:sz w:val="24"/>
        </w:rPr>
        <w:t>采购项目编号：</w:t>
      </w:r>
      <w:r>
        <w:rPr>
          <w:b/>
          <w:sz w:val="24"/>
        </w:rPr>
        <w:t>SSZ-2022G31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佛山市伟源招标代理有限公司</w:t>
      </w:r>
    </w:p>
    <w:p>
      <w:pPr>
        <w:ind w:firstLine="480"/>
      </w:pPr>
      <w:r>
        <w:rPr/>
        <w:t>你方组织的</w:t>
      </w:r>
      <w:r>
        <w:rPr>
          <w:u w:val="single"/>
        </w:rPr>
        <w:t>狮山镇建筑工程质量安全监督服务</w:t>
      </w:r>
      <w:r>
        <w:rPr/>
        <w:t>项目的竞争性磋商[采购项目编号为：</w:t>
      </w:r>
      <w:r>
        <w:rPr>
          <w:u w:val="single"/>
        </w:rPr>
        <w:t>SSZ-2022G31</w:t>
      </w:r>
      <w:r>
        <w:rPr/>
        <w:t>]，我方愿参与响应。</w:t>
      </w:r>
    </w:p>
    <w:p>
      <w:pPr>
        <w:ind w:firstLine="480"/>
      </w:pPr>
      <w:r>
        <w:rPr/>
        <w:t>我方确认收到贵方提供的</w:t>
      </w:r>
      <w:r>
        <w:rPr>
          <w:u w:val="single"/>
        </w:rPr>
        <w:t>狮山镇建筑工程质量安全监督服务</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狮山镇建筑工程质量安全监督服务</w:t>
      </w:r>
      <w:r>
        <w:rPr/>
        <w:t>项目采购[采购项目编号为</w:t>
      </w:r>
      <w:r>
        <w:rPr/>
        <w:t>SSZ-2022G31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佛山市伟源招标代理有限公司</w:t>
      </w:r>
    </w:p>
    <w:p>
      <w:pPr>
        <w:ind w:firstLine="480"/>
      </w:pPr>
      <w:r>
        <w:rPr/>
        <w:t>我单位参加贵公司组织的</w:t>
      </w:r>
      <w:r>
        <w:rPr/>
        <w:t>狮山镇建筑工程质量安全监督服务</w:t>
      </w:r>
      <w:r>
        <w:rPr/>
        <w:t>（采购项目编号：</w:t>
      </w:r>
      <w:r>
        <w:rPr/>
        <w:t>SSZ-2022G31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狮山镇建筑工程质量安全监督服务</w:t>
      </w:r>
      <w:r>
        <w:rPr/>
        <w:t>项目（采购项目编号：</w:t>
      </w:r>
      <w:r>
        <w:rPr/>
        <w:t>SSZ-2022G31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