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6A" w:rsidRPr="00E2106A" w:rsidRDefault="00E2106A" w:rsidP="00E2106A">
      <w:pPr>
        <w:widowControl w:val="0"/>
        <w:autoSpaceDE w:val="0"/>
        <w:autoSpaceDN w:val="0"/>
        <w:adjustRightInd/>
        <w:snapToGrid/>
        <w:spacing w:before="209" w:after="0" w:line="184" w:lineRule="auto"/>
        <w:jc w:val="center"/>
        <w:rPr>
          <w:rFonts w:ascii="宋体" w:eastAsia="宋体" w:hAnsi="宋体" w:cs="宋体"/>
          <w:sz w:val="24"/>
          <w:szCs w:val="24"/>
          <w:lang w:val="zh-CN" w:bidi="zh-CN"/>
        </w:rPr>
      </w:pPr>
      <w:r w:rsidRPr="00E2106A">
        <w:rPr>
          <w:rFonts w:ascii="宋体" w:eastAsia="宋体" w:hAnsi="宋体" w:cs="宋体" w:hint="eastAsia"/>
          <w:spacing w:val="9"/>
          <w:sz w:val="24"/>
          <w:szCs w:val="24"/>
          <w:lang w:val="zh-CN" w:bidi="zh-CN"/>
        </w:rPr>
        <w:t>《技术和服务要求响应表》</w:t>
      </w:r>
    </w:p>
    <w:p w:rsidR="00E2106A" w:rsidRPr="00E2106A" w:rsidRDefault="00E2106A" w:rsidP="00E2106A">
      <w:pPr>
        <w:widowControl w:val="0"/>
        <w:autoSpaceDE w:val="0"/>
        <w:autoSpaceDN w:val="0"/>
        <w:adjustRightInd/>
        <w:snapToGrid/>
        <w:spacing w:after="0" w:line="135" w:lineRule="auto"/>
        <w:rPr>
          <w:rFonts w:ascii="宋体" w:eastAsia="宋体" w:hAnsi="宋体" w:cs="宋体"/>
          <w:sz w:val="2"/>
          <w:lang w:val="zh-CN" w:bidi="zh-CN"/>
        </w:rPr>
      </w:pPr>
    </w:p>
    <w:tbl>
      <w:tblPr>
        <w:tblStyle w:val="TableNormal2"/>
        <w:tblW w:w="10552"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055"/>
        <w:gridCol w:w="1055"/>
        <w:gridCol w:w="2110"/>
        <w:gridCol w:w="1583"/>
        <w:gridCol w:w="1055"/>
        <w:gridCol w:w="1055"/>
        <w:gridCol w:w="1252"/>
        <w:gridCol w:w="853"/>
      </w:tblGrid>
      <w:tr w:rsidR="00E2106A" w:rsidRPr="00E36575" w:rsidTr="00E2106A">
        <w:trPr>
          <w:trHeight w:val="384"/>
        </w:trPr>
        <w:tc>
          <w:tcPr>
            <w:tcW w:w="534" w:type="dxa"/>
            <w:shd w:val="clear" w:color="auto" w:fill="E7E6E6"/>
            <w:vAlign w:val="center"/>
          </w:tcPr>
          <w:p w:rsidR="00E2106A" w:rsidRPr="00E36575" w:rsidRDefault="00E2106A" w:rsidP="00E36575">
            <w:pPr>
              <w:widowControl w:val="0"/>
              <w:autoSpaceDE w:val="0"/>
              <w:autoSpaceDN w:val="0"/>
              <w:adjustRightInd/>
              <w:ind w:firstLine="119"/>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1"/>
                <w:sz w:val="21"/>
                <w:szCs w:val="21"/>
                <w:lang w:val="zh-CN" w:bidi="zh-CN"/>
              </w:rPr>
              <w:t>序号</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8"/>
                <w:sz w:val="21"/>
                <w:szCs w:val="21"/>
                <w:lang w:val="zh-CN" w:bidi="zh-CN"/>
              </w:rPr>
              <w:t>标的名称</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8"/>
                <w:sz w:val="21"/>
                <w:szCs w:val="21"/>
                <w:lang w:val="zh-CN" w:bidi="zh-CN"/>
              </w:rPr>
              <w:t>参数性质</w:t>
            </w:r>
          </w:p>
        </w:tc>
        <w:tc>
          <w:tcPr>
            <w:tcW w:w="2110" w:type="dxa"/>
            <w:shd w:val="clear" w:color="auto" w:fill="E7E6E6"/>
            <w:vAlign w:val="center"/>
          </w:tcPr>
          <w:p w:rsidR="00E2106A" w:rsidRPr="00E36575" w:rsidRDefault="00E2106A" w:rsidP="00E36575">
            <w:pPr>
              <w:widowControl w:val="0"/>
              <w:adjustRightInd/>
              <w:jc w:val="center"/>
              <w:rPr>
                <w:rFonts w:asciiTheme="minorEastAsia" w:eastAsiaTheme="minorEastAsia" w:hAnsiTheme="minorEastAsia"/>
                <w:kern w:val="2"/>
                <w:sz w:val="21"/>
                <w:szCs w:val="21"/>
              </w:rPr>
            </w:pPr>
            <w:r w:rsidRPr="00E36575">
              <w:rPr>
                <w:rFonts w:asciiTheme="minorEastAsia" w:eastAsiaTheme="minorEastAsia" w:hAnsiTheme="minorEastAsia" w:hint="eastAsia"/>
                <w:spacing w:val="8"/>
                <w:kern w:val="2"/>
                <w:sz w:val="21"/>
                <w:szCs w:val="21"/>
              </w:rPr>
              <w:t>磋商文件规定的技术和服务要求</w:t>
            </w:r>
          </w:p>
        </w:tc>
        <w:tc>
          <w:tcPr>
            <w:tcW w:w="1583"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响应文件响应</w:t>
            </w:r>
          </w:p>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的具体内容</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型号</w:t>
            </w:r>
          </w:p>
        </w:tc>
        <w:tc>
          <w:tcPr>
            <w:tcW w:w="1055"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8"/>
                <w:sz w:val="21"/>
                <w:szCs w:val="21"/>
                <w:lang w:val="zh-CN" w:bidi="zh-CN"/>
              </w:rPr>
              <w:t>是否偏离</w:t>
            </w:r>
          </w:p>
        </w:tc>
        <w:tc>
          <w:tcPr>
            <w:tcW w:w="1252" w:type="dxa"/>
            <w:shd w:val="clear" w:color="auto" w:fill="E7E6E6"/>
            <w:vAlign w:val="center"/>
          </w:tcPr>
          <w:p w:rsidR="00E2106A" w:rsidRPr="00E36575" w:rsidRDefault="00E2106A" w:rsidP="00E36575">
            <w:pPr>
              <w:widowControl w:val="0"/>
              <w:autoSpaceDE w:val="0"/>
              <w:autoSpaceDN w:val="0"/>
              <w:adjustRightInd/>
              <w:ind w:firstLine="180"/>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证明文件所在位置</w:t>
            </w:r>
          </w:p>
        </w:tc>
        <w:tc>
          <w:tcPr>
            <w:tcW w:w="853" w:type="dxa"/>
            <w:shd w:val="clear" w:color="auto" w:fill="E7E6E6"/>
            <w:vAlign w:val="center"/>
          </w:tcPr>
          <w:p w:rsidR="00E2106A" w:rsidRPr="00E36575" w:rsidRDefault="00E2106A"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pacing w:val="1"/>
                <w:sz w:val="21"/>
                <w:szCs w:val="21"/>
                <w:lang w:val="zh-CN" w:bidi="zh-CN"/>
              </w:rPr>
              <w:t>备注</w:t>
            </w: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一体式楼板测厚仪：</w:t>
            </w:r>
          </w:p>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★2、允许误差：20～350mm ±1mm；351～600mm ±2mm；601~900mm ±3mm；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一体式云传输回弹仪：</w:t>
            </w:r>
          </w:p>
          <w:p w:rsidR="00676310" w:rsidRPr="00E36575" w:rsidRDefault="00676310" w:rsidP="00E36575">
            <w:pPr>
              <w:widowControl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★1、内置手机通讯 GPRS 模块，支持数据实时云上传。无月租，出厂预充话费，支持传输不少于100万次回弹数据；</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utoSpaceDE w:val="0"/>
              <w:autoSpaceDN w:val="0"/>
              <w:adjustRightInd/>
              <w:rPr>
                <w:rFonts w:asciiTheme="minorEastAsia" w:eastAsiaTheme="minorEastAsia" w:hAnsiTheme="minorEastAsia"/>
                <w:kern w:val="2"/>
                <w:sz w:val="21"/>
                <w:szCs w:val="21"/>
              </w:rPr>
            </w:pPr>
            <w:r w:rsidRPr="00E36575">
              <w:rPr>
                <w:rFonts w:asciiTheme="minorEastAsia" w:eastAsiaTheme="minorEastAsia" w:hAnsiTheme="minorEastAsia" w:hint="eastAsia"/>
                <w:kern w:val="2"/>
                <w:sz w:val="21"/>
                <w:szCs w:val="21"/>
              </w:rPr>
              <w:t>一体式云传输回弹仪：</w:t>
            </w:r>
          </w:p>
          <w:p w:rsidR="00676310" w:rsidRPr="00E36575" w:rsidRDefault="00676310" w:rsidP="00E36575">
            <w:pPr>
              <w:widowControl w:val="0"/>
              <w:autoSpaceDE w:val="0"/>
              <w:autoSpaceDN w:val="0"/>
              <w:adjustRightInd/>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★8、械回弹仪部分：测强范围：10-60MP，标称动能不少于2.207J，弹击拉簧刚度不少于7.85N/cm，冲击锤冲程不多于75mm，示值一致性误差 ≤±0.5(机械回弹仪指针读数和仪器屏幕读数之差)，钢砧率定回弹值 80±2；</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一体式钢筋位置测定仪：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3、★保护层厚度最大允许误差：</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w:t>
            </w:r>
            <w:r w:rsidRPr="00E36575">
              <w:rPr>
                <w:rFonts w:asciiTheme="minorEastAsia" w:eastAsiaTheme="minorEastAsia" w:hAnsiTheme="minorEastAsia" w:cs="宋体"/>
                <w:kern w:val="2"/>
                <w:sz w:val="21"/>
                <w:szCs w:val="21"/>
              </w:rPr>
              <w:t>1mm     1mm~80mm</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w:t>
            </w:r>
            <w:r w:rsidRPr="00E36575">
              <w:rPr>
                <w:rFonts w:asciiTheme="minorEastAsia" w:eastAsiaTheme="minorEastAsia" w:hAnsiTheme="minorEastAsia" w:cs="宋体"/>
                <w:kern w:val="2"/>
                <w:sz w:val="21"/>
                <w:szCs w:val="21"/>
              </w:rPr>
              <w:t>2mm    81mm~120mm</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±4mm   121mm~205mm；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◆桩基静载自动测试仪：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★2、油压传感器：</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1）油压传感器类型：压阻式；4~20mA输出，无需调零；</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2）油压传感器测试量程范围：0~70MPa；</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3）压力测试量程：可与任意测试荷载相匹配。</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4）力测试量程：可与任意测试荷载相匹配。</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lastRenderedPageBreak/>
              <w:t>5）压力测试通道：≥1个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6）力测试通道：≥1个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7）精度： ≤0.5%FS；</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8）分辨率：≤0.1%FS；</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◆桩基静载自动测试仪：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★3、位移传感器：</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1）位移传感器类型：调频式，防水（可在水深1米内正常工作）</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2）独立通道数量：≥8个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3）量程范围：单次量程不小于50.00mm，多次累加位移量程不限</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4）精度：≤0.1%FS；</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5）分辨率：≤0.01%FS；</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◆桩基静载自动测试仪：</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★三、无线通讯控制器</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1、数据传输</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1）传输模块：要求与主机或前端集成，无单独设备。</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2）传输方式：无线网络</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3）传输距离：在无线网络覆盖的区内均可</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4）传输可靠性：自动校验、支持断点续传、无差错无遗漏</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5）传输频率：已测数据（即时传输），试验数据（每分钟1次）</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6）内置电池：高能锂电池，连续工作时间≥10小时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★3、配置：活塞顶为球头支承，可在±5°范围内偏转；活塞内衬环材料为铜；活塞杆表面镀铬；</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★5、千斤顶油缸为整体锻打(盲孔)。</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★2、深度准确度：±0.1%；</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★3、方位精准度：±1°；</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全自动高强螺栓检测仪：★5、轴力示值相对误差：±1％以内；</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全自动高强螺栓检测仪：★8、扭矩示值相对误差：±1.0% 以内；</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全自动高强螺栓检测仪：★12、可以显示轴力曲线、扭矩曲线、扭矩系数、紧固轴力曲线；试验结果可将数据传送到计算机，可自动联网上传到监管部门的局域网；（含设备联接单位数据自动采集平台费用）</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46"/>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带锯切割机：★3、切割高度范围：0-230mm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直流电阻测量仪：★7、分辨率 ： 0.01 μΩ；</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直流电阻测量仪：★（2）精度±0.5%；</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恒温鼓风干燥箱：★2、工作温度：室温~300℃，分辨率：0.1℃，精度：1℃；</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沸煮箱：</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 升温时间（20℃升至100℃）： 30±5分；</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沸煮箱：</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 沸煮时间控制： 3小时±5分；</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一体式楼板测厚仪：▲6、主机一体式设计，高分辨率彩色液晶屏 ，体积小巧，重量轻，方便携带；</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lastRenderedPageBreak/>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lastRenderedPageBreak/>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一体式楼板测厚仪：▲7、主机供电：内置锂</w:t>
            </w:r>
            <w:r w:rsidRPr="00E36575">
              <w:rPr>
                <w:rFonts w:asciiTheme="minorEastAsia" w:eastAsiaTheme="minorEastAsia" w:hAnsiTheme="minorEastAsia" w:cs="宋体" w:hint="eastAsia"/>
                <w:sz w:val="21"/>
                <w:szCs w:val="21"/>
                <w:lang w:val="zh-CN" w:bidi="zh-CN"/>
              </w:rPr>
              <w:lastRenderedPageBreak/>
              <w:t>电池满足连续工作24小时；探头供电：内置锂电池满足连续工作64小时；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一体式云传输回弹仪：▲6、支持不少于1000个检测构件数，单构件测区数可存储不少于100个，支持不少于20位委托编号、40位构件编号，方便现场编辑中英文输入；</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一体式钢筋位置测定仪：2、▲量 程：第一量程   1mm~120mm；第二量程   5mm~210mm；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◆桩基静载自动测试仪：▲二、前端机</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1）位移通道数量：≥8个（可支持调频和数字传感器）；中继器数据连接线长：1.0~2.0米；</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2）力通道端口数量：≥1个；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3）荷载控制通道端口数量：≥1个；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4）可用交流或直流供电模式；</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 具备GPS定位功能，具备无线连接主机功能，可实时实现控载功能。</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◆桩基静载自动测试仪：▲四、软件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1）静载荷分析软件：windows操作界面，可兼容目前最新操作系统，并可在系统下进行静载试验数据分析；提供升级服务，费用包含在报价中。</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2）监控软件： windows操作界面，无限制监控数量，支持实时在现仪器操作界面，具备所有现场测试数据、测试参数以及人工干预变化情况实时监控功能；提供升级服务，费用包含在报价中。</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◆桩基静载自动测试仪：▲五、系统其他要求</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1）能够用于基桩静载试验；地基平板载荷静载试验；</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◆桩基静载自动测试仪：1）▲额定压力：不高于70MPa；额定流量：1L/min；油箱容量：不少于30L；</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800吨千斤顶：▲4、加压方式：双作用油路，油路接口配合上海千斤顶厂BZ-70超高压油泵站使用（BZ-70超高压油泵站油路接口为M22X1.5的70MPa快速接头）；配安全阀；</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sz w:val="21"/>
                <w:szCs w:val="21"/>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孔内摄像仪：▲8、GPS定位精准度：精确度≤10米 ，并配备软件实时监控。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11、卧式，符合GB/T50205-2020《钢结构工程施工质量验收标准》有关要求，可检测大六角头高强螺栓连接副(M16,M20,M22,M24,M27,M30)的轴力、扭矩、扭矩系数；扭剪型高强螺栓连接副(M16,M20,M22,M24,M27,M30)紧固轴力检测；</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全自动高强螺栓检测仪：▲13、测控系统具有参数备份和恢复、自动标定功能，峰值保持的监测以及传感器过载保护提示等功能。</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带锯切割机：▲6、台面材质：铸铁</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直流电阻测量仪：▲4、双向电流测量：内附电流换向装置，可进行正、反向电流测量；</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w:t>
            </w:r>
            <w:r w:rsidRPr="00676310">
              <w:rPr>
                <w:rFonts w:asciiTheme="minorEastAsia" w:eastAsiaTheme="minorEastAsia" w:hAnsiTheme="minorEastAsia"/>
                <w:sz w:val="21"/>
                <w:szCs w:val="21"/>
              </w:rPr>
              <w:lastRenderedPageBreak/>
              <w:t>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lastRenderedPageBreak/>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kern w:val="2"/>
                <w:sz w:val="21"/>
                <w:szCs w:val="21"/>
              </w:rPr>
              <w:t>直流电阻测量仪：▲</w:t>
            </w:r>
            <w:r w:rsidRPr="00E36575">
              <w:rPr>
                <w:rFonts w:asciiTheme="minorEastAsia" w:eastAsiaTheme="minorEastAsia" w:hAnsiTheme="minorEastAsia" w:cs="宋体" w:hint="eastAsia"/>
                <w:kern w:val="2"/>
                <w:sz w:val="21"/>
                <w:szCs w:val="21"/>
              </w:rPr>
              <w:lastRenderedPageBreak/>
              <w:t>5、电阻温度校正：15—25℃；</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恒温鼓风干燥箱：▲1、工作室内层尺寸：高750mm，宽600mm，深500mm；材料：内箱：SUS304不锈钢；外箱：A3喷塑；</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jc w:val="center"/>
              <w:rPr>
                <w:rFonts w:asciiTheme="minorEastAsia" w:eastAsiaTheme="minorEastAsia" w:hAnsiTheme="minorEastAsia"/>
                <w:sz w:val="21"/>
                <w:szCs w:val="21"/>
              </w:rPr>
            </w:pPr>
            <w:r w:rsidRPr="00E36575">
              <w:rPr>
                <w:rFonts w:asciiTheme="minorEastAsia" w:eastAsiaTheme="minorEastAsia" w:hAnsiTheme="minorEastAsia" w:cs="宋体" w:hint="eastAsia"/>
                <w:sz w:val="21"/>
                <w:szCs w:val="21"/>
                <w:lang w:val="zh-CN" w:bidi="zh-CN"/>
              </w:rPr>
              <w:t>▲</w:t>
            </w: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恒温鼓风干燥箱：▲5、采用PID双数显智能控温仪表，具有超温过热、漏电、传感器故障报警功能，定时功能，过流保护；</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1、厚度测量范围：20mm～900mm ；</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一体式楼板测厚仪：3、具有实时定位，实时显示发射探头位置，通过方向指示实现快速定位；操作简便；实时显示测量数值，自动锁定真实厚度；主机带有轮胎，减少仪器磨损；</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一体式楼板测厚仪：4、自带钢筋位置判读、钢筋密集修正功能，合理布置检测区域提升数据精度；</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一体式楼板测厚仪：5、自带蓝牙模块，支持实时数据上传；支持USB数据传输，可将存储数据通过USB线上传到计算机；带有PC端专业数据分析软件；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一体式楼板测厚仪：8、支持仪器标定，有效解决环境因素影响厚度偏差；</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一体式楼板测厚仪：9、方向指示范围：X方向0.2-1.5m   Y方向0.2-1.2m；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一体式楼板测厚仪：10、数据存储容量：不少于200个工程，1000个构件和22万个测点；</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w:t>
            </w:r>
            <w:r w:rsidRPr="00676310">
              <w:rPr>
                <w:rFonts w:asciiTheme="minorEastAsia" w:eastAsiaTheme="minorEastAsia" w:hAnsiTheme="minorEastAsia"/>
                <w:sz w:val="21"/>
                <w:szCs w:val="21"/>
              </w:rPr>
              <w:lastRenderedPageBreak/>
              <w:t>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sz w:val="21"/>
                <w:szCs w:val="21"/>
                <w:lang w:val="zh-CN" w:bidi="zh-CN"/>
              </w:rPr>
              <w:t>一体式楼板测厚仪：</w:t>
            </w:r>
            <w:r w:rsidRPr="00E36575">
              <w:rPr>
                <w:rFonts w:asciiTheme="minorEastAsia" w:eastAsiaTheme="minorEastAsia" w:hAnsiTheme="minorEastAsia" w:cs="宋体" w:hint="eastAsia"/>
                <w:sz w:val="21"/>
                <w:szCs w:val="21"/>
                <w:lang w:val="zh-CN" w:bidi="zh-CN"/>
              </w:rPr>
              <w:lastRenderedPageBreak/>
              <w:t>11、仪器配置包含：检测仪主机、发射探头、充电器、连接杆、同屏显示器、延长杆、标准试块、对讲机*2、仪器手提箱。</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一体式云传输回弹仪：2、云端自动技术上传数据和时间，确保检测数据真实性；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一体式云传输回弹仪：3、在特殊工况如地下室等地点，无手机信号，也可正常检测完成后，在手机信号覆盖范围内开机，数据自动上传云端；</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一体式云传输回弹仪：4、新检测构件只进行一次无线传输，确保数据的唯一性；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一体式云传输回弹仪：5、账号管理简单有效，出厂即内置仪器传输账号，开机即用，且能自定义用户名称，方便浏览对应检测数据；</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7、仪表部分：输入方式：自动记录回弹值，数据处理：依据规范自动进行数据修正、计算、统计分析，显示屏幕：不少于2.8寸彩屏（400×240像素），系统容量：不少于1000个构件，不少于100个测区，自动关机时间：可设置最大120min。使用寿命大于20万次。可充电，内置不少于3200mAh高容量进口锂电池；</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一体式云传输回弹仪：9、仪器配置包含：检测仪主机、防磨手橡胶盖、磨石、电源适配器、USB连接线、螺丝刀、仪器手提箱；</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w:t>
            </w:r>
            <w:r w:rsidRPr="00676310">
              <w:rPr>
                <w:rFonts w:asciiTheme="minorEastAsia" w:eastAsiaTheme="minorEastAsia" w:hAnsiTheme="minorEastAsia"/>
                <w:sz w:val="21"/>
                <w:szCs w:val="21"/>
              </w:rPr>
              <w:lastRenderedPageBreak/>
              <w:t>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一体式云传输回弹仪：</w:t>
            </w:r>
            <w:r w:rsidRPr="00E36575">
              <w:rPr>
                <w:rFonts w:asciiTheme="minorEastAsia" w:eastAsiaTheme="minorEastAsia" w:hAnsiTheme="minorEastAsia" w:cs="宋体" w:hint="eastAsia"/>
                <w:sz w:val="21"/>
                <w:szCs w:val="21"/>
                <w:lang w:val="zh-CN" w:bidi="zh-CN"/>
              </w:rPr>
              <w:lastRenderedPageBreak/>
              <w:t>10、数据须可接入采购人新华通系统。</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sz w:val="21"/>
                <w:szCs w:val="21"/>
              </w:rPr>
              <w:t>1</w:t>
            </w:r>
            <w:r w:rsidRPr="00E36575">
              <w:rPr>
                <w:rFonts w:asciiTheme="minorEastAsia" w:eastAsiaTheme="minorEastAsia" w:hAnsiTheme="minorEastAsia" w:hint="eastAsia"/>
                <w:sz w:val="21"/>
                <w:szCs w:val="21"/>
              </w:rPr>
              <w:t>、钢筋直径设置范围：</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6mm~</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50mm；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4、直径估测适用范围：</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6mm~</w:t>
            </w:r>
            <w:r w:rsidRPr="00E36575">
              <w:rPr>
                <w:rFonts w:asciiTheme="minorEastAsia" w:eastAsia="MS Mincho" w:hAnsiTheme="minorEastAsia" w:cs="MS Mincho" w:hint="eastAsia"/>
                <w:sz w:val="21"/>
                <w:szCs w:val="21"/>
              </w:rPr>
              <w:t>∅</w:t>
            </w:r>
            <w:r w:rsidRPr="00E36575">
              <w:rPr>
                <w:rFonts w:asciiTheme="minorEastAsia" w:eastAsiaTheme="minorEastAsia" w:hAnsiTheme="minorEastAsia" w:hint="eastAsia"/>
                <w:sz w:val="21"/>
                <w:szCs w:val="21"/>
              </w:rPr>
              <w:t>50mm；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5、直径估测最大误差（规格）：±1mm ；</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6、一体式无损检测扫描仪；</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7、保护层精度至 0.1mm，支持左右双路 AD 值提示，中心自动判读；</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8、高分辨彩色触摸屏，支持全屏触控交互操作；</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9、钢筋保护层厚度、钢筋位置及间距同屏显示，支持厚度值是否满足设计值自动辨别；</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10、创新同步显示器，远程操控主机并实时同步数据；标配3米延长杆；</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11、内置蓝牙芯片，连接数据平台 APP 使用，实现检测数据实时上传；</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12、水平和垂直激光定位，实时显示钢筋位置及相邻钢筋中心线，瞄准框及指示灯多重提醒，方便钢筋定位。</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13、支持多种检测模式适合不同的特殊测</w:t>
            </w:r>
            <w:r w:rsidRPr="00E36575">
              <w:rPr>
                <w:rFonts w:asciiTheme="minorEastAsia" w:eastAsiaTheme="minorEastAsia" w:hAnsiTheme="minorEastAsia" w:hint="eastAsia"/>
                <w:sz w:val="21"/>
                <w:szCs w:val="21"/>
              </w:rPr>
              <w:lastRenderedPageBreak/>
              <w:t>量环境，包括避箍筋检测、 反向修正检测、反向取值检测、凹面检测和凸面检测。</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14、支持远程仪器软件升级，享受便捷服务支持，PC 端软件免驱动安装，数据处理及报告生成轻松完成。</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一体式钢筋位置测定仪：</w:t>
            </w:r>
            <w:r w:rsidRPr="00E36575">
              <w:rPr>
                <w:rFonts w:asciiTheme="minorEastAsia" w:eastAsiaTheme="minorEastAsia" w:hAnsiTheme="minorEastAsia" w:hint="eastAsia"/>
                <w:sz w:val="21"/>
                <w:szCs w:val="21"/>
              </w:rPr>
              <w:t>15、仪器配置：检测仪主机、电源适配器、USB 连接线、延长杆、同步显示器、标准试块、U 盘、电池、仪器包、仪器手提箱。</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1、主机：</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1）采用电容触屏操作。</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显示屏尺寸: ≥10.1〞TFT彩屏；分辨率不小于1280 800；</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2）电源：直流12V+5%,功率≤15VA；</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3）数据存储方式：采用嵌入式数据库储检数据，并具备查询显示功能</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4）数据存储容量大小：提供多重电子自动存储盘，且具备自动备份功能；电子盘容量大小≥16G</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5）要求提供稳定、可靠的操作系统（不低于工业实时Linux操作系统），全中文菜单；</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6）提供双USB及标准RS232串口数据传输接口。</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lastRenderedPageBreak/>
              <w:t>7）内置最新国家、行业检测规及地方规范（必须含广东省），</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8）内置工业4G模块、wifi、数据可实时上传服务器（可同时上传不少于2个服务器）</w:t>
            </w:r>
          </w:p>
          <w:p w:rsidR="00676310" w:rsidRPr="00E36575" w:rsidRDefault="00676310" w:rsidP="00CD2A1B">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 xml:space="preserve"> 9）主机与前端采用无线网络，传输距离不小于700m。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4、荷载控制：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1）独立通道数量：≥1个；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 最大控制功率： ≤7kVA；</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◆桩基静载自动测试仪：一、桩基静载测试分析仪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5、使用环境及温度：仪器主机工作温度范围及工作时长： 0～50℃，可长时间连续工作。</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◆桩基静载自动测试仪：六、系统配置一（1套清单）</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1）主机一台（带U盘一个）；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2）主机展架1副；</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3）RS232通信线一条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4）前端机一台；</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5）ZigBee天线2根；</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6）AC电源线2条；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7）电源适配器2只；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8）4G天线1根；</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9）压力表三通1个（接压力表和油管）；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10）位移盒2个；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11）位移盒连线不少于15米1根；</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12）50mm防水位移传感器5个；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13）位移传感器安装卡5个；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14）压阻式压力传感器1个（最大压力70Mpa）；</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15）三相四线连接线2</w:t>
            </w:r>
            <w:r w:rsidRPr="00E36575">
              <w:rPr>
                <w:rFonts w:asciiTheme="minorEastAsia" w:eastAsiaTheme="minorEastAsia" w:hAnsiTheme="minorEastAsia" w:cs="宋体" w:hint="eastAsia"/>
                <w:sz w:val="21"/>
                <w:szCs w:val="21"/>
                <w:lang w:val="zh-CN" w:bidi="zh-CN"/>
              </w:rPr>
              <w:lastRenderedPageBreak/>
              <w:t>条；</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16）GPS天线1条。</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◆桩基静载自动测试仪：七、高压油泵</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2）电机功率：不少于1.5kW；转速：不少于1400r/min；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3）配有换向阀、调压阀和液控单向阀，使千斤顶系统压力可逐级调低，在停顿时具有保压功能，带自动卸荷功能。</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hint="eastAsia"/>
                <w:kern w:val="2"/>
                <w:sz w:val="21"/>
                <w:szCs w:val="21"/>
              </w:rPr>
              <w:t>1、支承吨位： 800吨；</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800吨千斤顶：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2、工作行程：不少于250mm；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孔内摄像仪：1、高清探头：800万像素或以上（可配二维、三维指南针），探头直径Φ70mm，360°全孔观测；</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孔内摄像仪：4、轻便超细抗拉电缆：直径不大于5mm，长度不少于100米；</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孔内摄像仪：5、成像功能：成像和录像能一次性完成也能分开完成；3D成图功能，能1:1的还原3D实物图；</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孔内摄像仪：6、测控速度：5~15m/min；</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孔内摄像仪：7、 软件功能：人性化观测软件；智能化的编辑处理软件；集成高效图像处理算法；独特的数字化电子岩心库，永久保留电子岩心。</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1、主机电压：三相AC380V，1.0KW；</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2、试验转速：0.1-1.0r/min；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lastRenderedPageBreak/>
              <w:t>3、轴力检测范围：50-500kN；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4、最小分辨力：0.1kN；</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6、扭矩检测范围：100-2000Nm；</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7、扭矩分辨力：0.1NM；</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9、检测螺栓规格：M16-M30；</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10、检测螺栓长度：50mm-280mm ；</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全自动高强螺栓检测仪：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14、主要配置：</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1）试验主机（含电机、减速机、精密直线导轨、承载机柜）1套；</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2）主流配置的品牌电脑主机和显示器1套；</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3）500kN轴力传感器  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4）2000 N.m无线蓝牙传输扭矩传感器1个；</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5）重力套筒27（M16)、34(M20)、36(M22)、41(M24)、46(M27)、50(M30)各1套；</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6）螺栓外挡板 M16、20、22、24、27、30各1件；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7）螺栓内挡板M16、20、22、24、27、30各1件；</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8）防转插板 27（M16)、34(M20)、36(M22)、41(M24)、46(M27)、50(M30)各1件。</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1、电压：220V/50Hz，</w:t>
            </w:r>
          </w:p>
          <w:p w:rsidR="00676310" w:rsidRPr="00E36575" w:rsidRDefault="00676310" w:rsidP="00E36575">
            <w:pPr>
              <w:autoSpaceDE w:val="0"/>
              <w:autoSpaceDN w:val="0"/>
              <w:adjustRightInd/>
              <w:textAlignment w:val="cente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2、空载转速：370-800r/min</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cs="宋体"/>
                <w:sz w:val="21"/>
                <w:szCs w:val="21"/>
                <w:lang w:val="zh-CN" w:bidi="zh-CN"/>
              </w:rPr>
            </w:pPr>
            <w:r w:rsidRPr="00E36575">
              <w:rPr>
                <w:rFonts w:asciiTheme="minorEastAsia" w:eastAsiaTheme="minorEastAsia" w:hAnsiTheme="minorEastAsia" w:cs="宋体" w:hint="eastAsia"/>
                <w:sz w:val="21"/>
                <w:szCs w:val="21"/>
                <w:lang w:val="zh-CN" w:bidi="zh-CN"/>
              </w:rPr>
              <w:t>带锯切割机：</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4、喉深尺寸：不少于340mm</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5、锯条尺寸：长度不少于2560mm</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直流电阻测量仪：</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1、测量范围：0.01μΩ-199.99Ω；</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2、额定测量电流：1mA-10A；</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3、倍率电流测量：0.707I：1.00I：1.41I；</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直流电阻测量仪：6、准确度等级：0.05级；</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直流电阻测量仪：</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8、配套夹具：</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（1）测量范围0.01-100（MΩ）；</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（3）重复误差不高于0.01；</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（4）测量范围1mm²—630 mm²。</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恒温鼓风干燥箱：</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3、定时范围：1-9999min(单位可调)；</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tcPr>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恒温鼓风干燥箱：</w:t>
            </w:r>
          </w:p>
          <w:p w:rsidR="00676310" w:rsidRPr="00E36575" w:rsidRDefault="00676310" w:rsidP="00E36575">
            <w:pPr>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4、电源电压：220V 50HZ，功率：6000kW；</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sz w:val="21"/>
                <w:szCs w:val="21"/>
              </w:rPr>
            </w:pPr>
            <w:r w:rsidRPr="00E36575">
              <w:rPr>
                <w:rFonts w:asciiTheme="minorEastAsia" w:eastAsiaTheme="minorEastAsia" w:hAnsiTheme="minorEastAsia" w:hint="eastAsia"/>
                <w:sz w:val="21"/>
                <w:szCs w:val="21"/>
              </w:rPr>
              <w:t>恒温鼓风干燥箱：</w:t>
            </w:r>
          </w:p>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6、有热风循环系统：风机能在高温下连续运转。</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沸煮箱：1. 最高沸点指标： 100℃；</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沸煮箱：2. 沸煮箱名义容积：不少于 31公升；</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r w:rsidR="00676310" w:rsidRPr="00E36575" w:rsidTr="00676310">
        <w:trPr>
          <w:trHeight w:val="384"/>
        </w:trPr>
        <w:tc>
          <w:tcPr>
            <w:tcW w:w="534" w:type="dxa"/>
            <w:vAlign w:val="center"/>
          </w:tcPr>
          <w:p w:rsidR="00676310" w:rsidRPr="00E36575" w:rsidRDefault="00676310" w:rsidP="00E36575">
            <w:pPr>
              <w:widowControl w:val="0"/>
              <w:numPr>
                <w:ilvl w:val="0"/>
                <w:numId w:val="2"/>
              </w:numPr>
              <w:autoSpaceDE w:val="0"/>
              <w:autoSpaceDN w:val="0"/>
              <w:adjustRightInd/>
              <w:snapToGrid/>
              <w:jc w:val="center"/>
              <w:rPr>
                <w:rFonts w:asciiTheme="minorEastAsia" w:eastAsiaTheme="minorEastAsia" w:hAnsiTheme="minorEastAsia" w:cs="宋体"/>
                <w:sz w:val="21"/>
                <w:szCs w:val="21"/>
                <w:lang w:val="zh-CN" w:bidi="zh-CN"/>
              </w:rPr>
            </w:pPr>
          </w:p>
        </w:tc>
        <w:tc>
          <w:tcPr>
            <w:tcW w:w="1055" w:type="dxa"/>
            <w:vAlign w:val="center"/>
          </w:tcPr>
          <w:p w:rsidR="00676310" w:rsidRPr="00676310" w:rsidRDefault="00676310" w:rsidP="00676310">
            <w:pPr>
              <w:jc w:val="center"/>
              <w:rPr>
                <w:rFonts w:asciiTheme="minorEastAsia" w:eastAsiaTheme="minorEastAsia" w:hAnsiTheme="minorEastAsia"/>
                <w:sz w:val="21"/>
                <w:szCs w:val="21"/>
              </w:rPr>
            </w:pPr>
            <w:r w:rsidRPr="00676310">
              <w:rPr>
                <w:rFonts w:asciiTheme="minorEastAsia" w:eastAsiaTheme="minorEastAsia" w:hAnsiTheme="minorEastAsia"/>
                <w:sz w:val="21"/>
                <w:szCs w:val="21"/>
              </w:rPr>
              <w:t>购置2022年度检测</w:t>
            </w:r>
            <w:r w:rsidRPr="00676310">
              <w:rPr>
                <w:rFonts w:asciiTheme="minorEastAsia" w:eastAsiaTheme="minorEastAsia" w:hAnsiTheme="minorEastAsia" w:hint="eastAsia"/>
                <w:sz w:val="21"/>
                <w:szCs w:val="21"/>
              </w:rPr>
              <w:t>设备</w:t>
            </w: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2110" w:type="dxa"/>
            <w:vAlign w:val="center"/>
          </w:tcPr>
          <w:p w:rsidR="00676310" w:rsidRPr="00E36575" w:rsidRDefault="00676310" w:rsidP="00E36575">
            <w:pPr>
              <w:widowControl w:val="0"/>
              <w:adjustRightInd/>
              <w:rPr>
                <w:rFonts w:asciiTheme="minorEastAsia" w:eastAsiaTheme="minorEastAsia" w:hAnsiTheme="minorEastAsia" w:cs="宋体"/>
                <w:kern w:val="2"/>
                <w:sz w:val="21"/>
                <w:szCs w:val="21"/>
              </w:rPr>
            </w:pPr>
            <w:r w:rsidRPr="00E36575">
              <w:rPr>
                <w:rFonts w:asciiTheme="minorEastAsia" w:eastAsiaTheme="minorEastAsia" w:hAnsiTheme="minorEastAsia" w:cs="宋体" w:hint="eastAsia"/>
                <w:kern w:val="2"/>
                <w:sz w:val="21"/>
                <w:szCs w:val="21"/>
              </w:rPr>
              <w:t>沸煮箱：5.加热器功率： 1KW/220V, 3KW/220V。</w:t>
            </w:r>
          </w:p>
        </w:tc>
        <w:tc>
          <w:tcPr>
            <w:tcW w:w="158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055"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1252"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c>
          <w:tcPr>
            <w:tcW w:w="853" w:type="dxa"/>
            <w:vAlign w:val="center"/>
          </w:tcPr>
          <w:p w:rsidR="00676310" w:rsidRPr="00E36575" w:rsidRDefault="00676310" w:rsidP="00E36575">
            <w:pPr>
              <w:widowControl w:val="0"/>
              <w:autoSpaceDE w:val="0"/>
              <w:autoSpaceDN w:val="0"/>
              <w:adjustRightInd/>
              <w:jc w:val="center"/>
              <w:rPr>
                <w:rFonts w:asciiTheme="minorEastAsia" w:eastAsiaTheme="minorEastAsia" w:hAnsiTheme="minorEastAsia" w:cs="宋体"/>
                <w:sz w:val="21"/>
                <w:szCs w:val="21"/>
                <w:lang w:val="zh-CN" w:bidi="zh-CN"/>
              </w:rPr>
            </w:pPr>
          </w:p>
        </w:tc>
      </w:tr>
    </w:tbl>
    <w:p w:rsidR="00E2106A" w:rsidRPr="00E2106A" w:rsidRDefault="00E2106A" w:rsidP="00E2106A">
      <w:pPr>
        <w:widowControl w:val="0"/>
        <w:autoSpaceDE w:val="0"/>
        <w:autoSpaceDN w:val="0"/>
        <w:adjustRightInd/>
        <w:snapToGrid/>
        <w:spacing w:before="147" w:after="0" w:line="186" w:lineRule="auto"/>
        <w:ind w:firstLine="393"/>
        <w:rPr>
          <w:rFonts w:ascii="宋体" w:eastAsia="宋体" w:hAnsi="宋体" w:cs="宋体"/>
          <w:sz w:val="20"/>
          <w:szCs w:val="20"/>
          <w:lang w:val="zh-CN" w:bidi="zh-CN"/>
        </w:rPr>
      </w:pPr>
      <w:r w:rsidRPr="00E2106A">
        <w:rPr>
          <w:rFonts w:ascii="宋体" w:eastAsia="宋体" w:hAnsi="宋体" w:cs="宋体" w:hint="eastAsia"/>
          <w:spacing w:val="-3"/>
          <w:sz w:val="20"/>
          <w:szCs w:val="20"/>
          <w:lang w:val="zh-CN" w:bidi="zh-CN"/>
        </w:rPr>
        <w:t>说明：</w:t>
      </w:r>
    </w:p>
    <w:p w:rsidR="00E2106A" w:rsidRPr="00E2106A" w:rsidRDefault="00E2106A" w:rsidP="00E2106A">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val="zh-CN" w:bidi="zh-CN"/>
        </w:rPr>
      </w:pPr>
      <w:r w:rsidRPr="00E2106A">
        <w:rPr>
          <w:rFonts w:ascii="宋体" w:eastAsia="宋体" w:hAnsi="宋体" w:cs="宋体"/>
          <w:sz w:val="20"/>
          <w:szCs w:val="20"/>
          <w:lang w:bidi="zh-CN"/>
        </w:rPr>
        <w:t>1.“</w:t>
      </w:r>
      <w:r w:rsidRPr="00E2106A">
        <w:rPr>
          <w:rFonts w:ascii="宋体" w:eastAsia="宋体" w:hAnsi="宋体" w:cs="宋体" w:hint="eastAsia"/>
          <w:sz w:val="20"/>
          <w:szCs w:val="20"/>
          <w:lang w:bidi="zh-CN"/>
        </w:rPr>
        <w:t>磋商文件规定的技术和服务要求</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 xml:space="preserve">项下填写的内容应与磋商文件中采购需求的 </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技术要求</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的内容保持一致。供应商应当如实填写上表</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响应文件响应的具体内容</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sidRPr="00E2106A">
        <w:rPr>
          <w:rFonts w:ascii="宋体" w:eastAsia="宋体" w:hAnsi="宋体" w:cs="宋体" w:hint="eastAsia"/>
          <w:b/>
          <w:bCs/>
          <w:sz w:val="20"/>
          <w:szCs w:val="20"/>
          <w:lang w:bidi="zh-CN"/>
        </w:rPr>
        <w:t>响应无效响</w:t>
      </w:r>
      <w:r w:rsidRPr="00E2106A">
        <w:rPr>
          <w:rFonts w:ascii="宋体" w:eastAsia="宋体" w:hAnsi="宋体" w:cs="宋体" w:hint="eastAsia"/>
          <w:sz w:val="20"/>
          <w:szCs w:val="20"/>
          <w:lang w:bidi="zh-CN"/>
        </w:rPr>
        <w:t xml:space="preserve">。 </w:t>
      </w:r>
    </w:p>
    <w:p w:rsidR="00E2106A" w:rsidRPr="00E2106A" w:rsidRDefault="00E2106A" w:rsidP="00E2106A">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val="zh-CN" w:bidi="zh-CN"/>
        </w:rPr>
      </w:pPr>
      <w:r w:rsidRPr="00E2106A">
        <w:rPr>
          <w:rFonts w:ascii="宋体" w:eastAsia="宋体" w:hAnsi="宋体" w:cs="宋体"/>
          <w:sz w:val="20"/>
          <w:szCs w:val="20"/>
          <w:lang w:bidi="zh-CN"/>
        </w:rPr>
        <w:t>2.</w:t>
      </w:r>
      <w:r w:rsidRPr="00E2106A">
        <w:rPr>
          <w:rFonts w:ascii="宋体" w:eastAsia="宋体" w:hAnsi="宋体" w:cs="宋体" w:hint="eastAsia"/>
          <w:sz w:val="20"/>
          <w:szCs w:val="20"/>
          <w:lang w:bidi="zh-CN"/>
        </w:rPr>
        <w:t>参数性质栏标注</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号条款标志， 打</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号条款为实质性条款，若有任何一条负偏离或不</w:t>
      </w:r>
      <w:r w:rsidRPr="00E2106A">
        <w:rPr>
          <w:rFonts w:ascii="宋体" w:eastAsia="宋体" w:hAnsi="宋体" w:cs="宋体" w:hint="eastAsia"/>
          <w:sz w:val="20"/>
          <w:szCs w:val="20"/>
          <w:lang w:bidi="zh-CN"/>
        </w:rPr>
        <w:lastRenderedPageBreak/>
        <w:t>满足则导致响应无效。打</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号条款为重要技术参数（如有），若有部分</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条款未响应或不满足，将根据评审要求影响其得分，但不作为无效响应条款。</w:t>
      </w:r>
    </w:p>
    <w:p w:rsidR="00E2106A" w:rsidRPr="00E2106A" w:rsidRDefault="00E2106A" w:rsidP="00E2106A">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val="zh-CN" w:bidi="zh-CN"/>
        </w:rPr>
      </w:pPr>
      <w:r w:rsidRPr="00E2106A">
        <w:rPr>
          <w:rFonts w:ascii="宋体" w:eastAsia="宋体" w:hAnsi="宋体" w:cs="宋体"/>
          <w:sz w:val="20"/>
          <w:szCs w:val="20"/>
          <w:lang w:bidi="zh-CN"/>
        </w:rPr>
        <w:t>3.“</w:t>
      </w:r>
      <w:r w:rsidRPr="00E2106A">
        <w:rPr>
          <w:rFonts w:ascii="宋体" w:eastAsia="宋体" w:hAnsi="宋体" w:cs="宋体" w:hint="eastAsia"/>
          <w:sz w:val="20"/>
          <w:szCs w:val="20"/>
          <w:lang w:bidi="zh-CN"/>
        </w:rPr>
        <w:t>是否偏离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项下应按下列规定填写：优于的，填写</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正偏离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；符合的，填写</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无偏离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；低于的，填写</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负偏离</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 xml:space="preserve">。 </w:t>
      </w:r>
    </w:p>
    <w:p w:rsidR="002A45F5" w:rsidRDefault="00E2106A" w:rsidP="00E36575">
      <w:pPr>
        <w:widowControl w:val="0"/>
        <w:autoSpaceDE w:val="0"/>
        <w:autoSpaceDN w:val="0"/>
        <w:adjustRightInd/>
        <w:snapToGrid/>
        <w:spacing w:after="0" w:line="360" w:lineRule="auto"/>
        <w:ind w:leftChars="89" w:left="196" w:right="49" w:firstLineChars="77" w:firstLine="154"/>
        <w:rPr>
          <w:rFonts w:ascii="宋体" w:eastAsia="宋体" w:hAnsi="宋体" w:cs="宋体"/>
          <w:sz w:val="20"/>
          <w:szCs w:val="20"/>
          <w:lang w:bidi="zh-CN"/>
        </w:rPr>
      </w:pPr>
      <w:r w:rsidRPr="00E2106A">
        <w:rPr>
          <w:rFonts w:ascii="宋体" w:eastAsia="宋体" w:hAnsi="宋体" w:cs="宋体"/>
          <w:sz w:val="20"/>
          <w:szCs w:val="20"/>
          <w:lang w:bidi="zh-CN"/>
        </w:rPr>
        <w:t>4.“</w:t>
      </w:r>
      <w:r w:rsidRPr="00E2106A">
        <w:rPr>
          <w:rFonts w:ascii="宋体" w:eastAsia="宋体" w:hAnsi="宋体" w:cs="宋体" w:hint="eastAsia"/>
          <w:sz w:val="20"/>
          <w:szCs w:val="20"/>
          <w:lang w:bidi="zh-CN"/>
        </w:rPr>
        <w:t>备注</w:t>
      </w:r>
      <w:r w:rsidRPr="00E2106A">
        <w:rPr>
          <w:rFonts w:ascii="宋体" w:eastAsia="宋体" w:hAnsi="宋体" w:cs="宋体"/>
          <w:sz w:val="20"/>
          <w:szCs w:val="20"/>
          <w:lang w:bidi="zh-CN"/>
        </w:rPr>
        <w:t>”</w:t>
      </w:r>
      <w:r w:rsidRPr="00E2106A">
        <w:rPr>
          <w:rFonts w:ascii="宋体" w:eastAsia="宋体" w:hAnsi="宋体" w:cs="宋体" w:hint="eastAsia"/>
          <w:sz w:val="20"/>
          <w:szCs w:val="20"/>
          <w:lang w:bidi="zh-CN"/>
        </w:rPr>
        <w:t>处可填写偏离情况的说明。</w:t>
      </w:r>
    </w:p>
    <w:p w:rsidR="002A45F5" w:rsidRDefault="002A45F5">
      <w:pPr>
        <w:adjustRightInd/>
        <w:snapToGrid/>
        <w:spacing w:line="220" w:lineRule="atLeast"/>
        <w:rPr>
          <w:rFonts w:ascii="宋体" w:eastAsia="宋体" w:hAnsi="宋体" w:cs="宋体"/>
          <w:sz w:val="20"/>
          <w:szCs w:val="20"/>
          <w:lang w:bidi="zh-CN"/>
        </w:rPr>
      </w:pPr>
      <w:r>
        <w:rPr>
          <w:rFonts w:ascii="宋体" w:eastAsia="宋体" w:hAnsi="宋体" w:cs="宋体"/>
          <w:sz w:val="20"/>
          <w:szCs w:val="20"/>
          <w:lang w:bidi="zh-CN"/>
        </w:rPr>
        <w:br w:type="page"/>
      </w:r>
    </w:p>
    <w:p w:rsidR="00E2106A" w:rsidRDefault="002A45F5" w:rsidP="002A45F5">
      <w:pPr>
        <w:widowControl w:val="0"/>
        <w:autoSpaceDE w:val="0"/>
        <w:autoSpaceDN w:val="0"/>
        <w:adjustRightInd/>
        <w:snapToGrid/>
        <w:spacing w:after="0" w:line="360" w:lineRule="auto"/>
        <w:ind w:left="196" w:right="49" w:hangingChars="89" w:hanging="196"/>
        <w:jc w:val="center"/>
        <w:rPr>
          <w:rFonts w:ascii="宋体" w:eastAsia="宋体" w:hAnsi="宋体" w:cs="宋体"/>
          <w:lang w:val="zh-CN" w:bidi="zh-CN"/>
        </w:rPr>
      </w:pPr>
      <w:r w:rsidRPr="002A45F5">
        <w:rPr>
          <w:rFonts w:ascii="宋体" w:eastAsia="宋体" w:hAnsi="宋体" w:cs="宋体" w:hint="eastAsia"/>
          <w:lang w:val="zh-CN" w:bidi="zh-CN"/>
        </w:rPr>
        <w:lastRenderedPageBreak/>
        <w:t>《商务条件响应表》</w:t>
      </w:r>
    </w:p>
    <w:p w:rsidR="002A45F5" w:rsidRDefault="002A45F5" w:rsidP="002A45F5">
      <w:pPr>
        <w:widowControl w:val="0"/>
        <w:autoSpaceDE w:val="0"/>
        <w:autoSpaceDN w:val="0"/>
        <w:adjustRightInd/>
        <w:snapToGrid/>
        <w:spacing w:after="0" w:line="360" w:lineRule="auto"/>
        <w:ind w:left="196" w:right="49" w:hangingChars="89" w:hanging="196"/>
        <w:jc w:val="center"/>
        <w:rPr>
          <w:rFonts w:ascii="宋体" w:eastAsia="宋体" w:hAnsi="宋体" w:cs="宋体"/>
          <w:lang w:val="zh-CN" w:bidi="zh-CN"/>
        </w:rPr>
      </w:pPr>
    </w:p>
    <w:tbl>
      <w:tblPr>
        <w:tblStyle w:val="a5"/>
        <w:tblW w:w="0" w:type="auto"/>
        <w:tblInd w:w="196" w:type="dxa"/>
        <w:tblLook w:val="04A0"/>
      </w:tblPr>
      <w:tblGrid>
        <w:gridCol w:w="479"/>
        <w:gridCol w:w="993"/>
        <w:gridCol w:w="3685"/>
        <w:gridCol w:w="1559"/>
        <w:gridCol w:w="851"/>
        <w:gridCol w:w="1276"/>
        <w:gridCol w:w="923"/>
      </w:tblGrid>
      <w:tr w:rsidR="002A45F5" w:rsidRPr="002A45F5" w:rsidTr="002A45F5">
        <w:tc>
          <w:tcPr>
            <w:tcW w:w="479"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序号</w:t>
            </w: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参数性质</w:t>
            </w:r>
          </w:p>
        </w:tc>
        <w:tc>
          <w:tcPr>
            <w:tcW w:w="3685"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磋商文件规定的商务条件</w:t>
            </w:r>
          </w:p>
        </w:tc>
        <w:tc>
          <w:tcPr>
            <w:tcW w:w="1559"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响应文件响应的具体内容</w:t>
            </w:r>
          </w:p>
        </w:tc>
        <w:tc>
          <w:tcPr>
            <w:tcW w:w="851"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是否偏离</w:t>
            </w:r>
          </w:p>
        </w:tc>
        <w:tc>
          <w:tcPr>
            <w:tcW w:w="1276"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证明文件所在位置</w:t>
            </w:r>
          </w:p>
        </w:tc>
        <w:tc>
          <w:tcPr>
            <w:tcW w:w="92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备注</w:t>
            </w: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w:t>
            </w: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一）报价要求：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1.本项目的报价和结算支付均以人民币为货币单位。</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本项目实行总价包干，投标报价应包括：设备费、运输费、装卸费、保险费、安装费、技术服务费（含联络费、培训费、调试费、保修费）、各项税费、验收费、中标服务费、不可预见费等完成本招标内容所需的一切费用。</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供应商应被认为在填报投标报价之前，已经仔细阅读了本招标文件的所有有关章节以及审查了所有相关资料，已确保本次招标的所有招标范围内的各种价格风险均已包含在投标报价内。开标后，任何因供应商的疏漏而提出的不利于采购人的合同单价调价申请将不被接受。</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4. 磋商小组认为供应商的报价明显低于其他通过资格、符合性审查供应商的报价，有可能影响产品质量或者不能诚信履约的，应当要求其在评标现场合理的时间内提供书面说明，必要时提交相关证明材料；供应商不能证明其报价合理性的，谈判小组应当将其作为无效响应处理。</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Pr>
                <w:rFonts w:asciiTheme="minorEastAsia" w:eastAsiaTheme="minorEastAsia" w:hAnsiTheme="minorEastAsia" w:cs="宋体" w:hint="eastAsia"/>
                <w:sz w:val="21"/>
                <w:szCs w:val="21"/>
                <w:lang w:val="zh-CN" w:bidi="zh-CN"/>
              </w:rPr>
              <w:t>二）</w:t>
            </w:r>
            <w:r w:rsidRPr="002A45F5">
              <w:rPr>
                <w:rFonts w:asciiTheme="minorEastAsia" w:eastAsiaTheme="minorEastAsia" w:hAnsiTheme="minorEastAsia" w:cs="宋体" w:hint="eastAsia"/>
                <w:sz w:val="21"/>
                <w:szCs w:val="21"/>
                <w:lang w:val="zh-CN" w:bidi="zh-CN"/>
              </w:rPr>
              <w:t>交货期、交货方式及交货地点</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1）交货期：合同签订生效之日起40天内完成交货、安装调试，并交付使</w:t>
            </w:r>
            <w:r w:rsidRPr="002A45F5">
              <w:rPr>
                <w:rFonts w:asciiTheme="minorEastAsia" w:eastAsiaTheme="minorEastAsia" w:hAnsiTheme="minorEastAsia" w:cs="宋体" w:hint="eastAsia"/>
                <w:sz w:val="21"/>
                <w:szCs w:val="21"/>
                <w:lang w:val="zh-CN" w:bidi="zh-CN"/>
              </w:rPr>
              <w:lastRenderedPageBreak/>
              <w:t xml:space="preserve">用。 </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2）交货方式：由乙方自行负责送货到采购人指定地点；</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 交货地点：佛山市南海区桂城天佑四路52号、狮山镇博爱东路24号及狮山镇长虹岭工业园长兴路1号。</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三）质保期及售后服务要求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1.本合同的质量保证期（简称“质保期”）为 1 年。质保期内乙方对所供货物非人为因素和不可抗力出现故障，实行包修、包换、包退、包维护保养，期满后提供终身有偿维修保养服务，对维修费用只收取维修成本价。</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质保期内，如设备或零部件因非人为因素和不可抗力出现故障而造成短期停用时，则质保期和免费维修期相应顺延。如停用时间累计超过60天则质保期重新计算。如在60天内仍未能解决问题，该货物必须退回给乙方，乙方承担相应的违约责任，在收到采购人的退货通知书后7天内须收回该设备，并在15天内退回相应的设备款项及赔偿采购人的损失，其赔偿数额为该设备款项的35%。</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3.对采购人的服务通知，乙方在接到故障通知后须在2小时内进行响应，并立即作出详细的故障处理方案，在 24 小时内到达现场，按国家及行业标准对故障进行及时处理。如7天内未能解决问题，必须提供</w:t>
            </w:r>
            <w:r w:rsidR="0047039C" w:rsidRPr="0047039C">
              <w:rPr>
                <w:rFonts w:asciiTheme="minorEastAsia" w:eastAsiaTheme="minorEastAsia" w:hAnsiTheme="minorEastAsia" w:cs="宋体" w:hint="eastAsia"/>
                <w:sz w:val="21"/>
                <w:szCs w:val="21"/>
                <w:lang w:val="zh-CN" w:bidi="zh-CN"/>
              </w:rPr>
              <w:t>相同型号的备用机</w:t>
            </w:r>
            <w:r w:rsidRPr="002A45F5">
              <w:rPr>
                <w:rFonts w:asciiTheme="minorEastAsia" w:eastAsiaTheme="minorEastAsia" w:hAnsiTheme="minorEastAsia" w:cs="宋体" w:hint="eastAsia"/>
                <w:sz w:val="21"/>
                <w:szCs w:val="21"/>
                <w:lang w:val="zh-CN" w:bidi="zh-CN"/>
              </w:rPr>
              <w:t>供采购人临时使用。</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四）包装、保险及发运、保管要求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1.设备材料的包装必须是制造商原厂</w:t>
            </w:r>
            <w:r w:rsidRPr="002A45F5">
              <w:rPr>
                <w:rFonts w:asciiTheme="minorEastAsia" w:eastAsiaTheme="minorEastAsia" w:hAnsiTheme="minorEastAsia" w:cs="宋体" w:hint="eastAsia"/>
                <w:sz w:val="21"/>
                <w:szCs w:val="21"/>
                <w:lang w:val="zh-CN" w:bidi="zh-CN"/>
              </w:rPr>
              <w:lastRenderedPageBreak/>
              <w:t>包装，其包装均应有良好的防湿、防锈、防潮、防雨、防腐及防碰撞的措施。凡由于包装不良造成的损失和由此产生的费用均由响应供应商承担。</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2.乙方负责将设备材料货到现场过程中的全部运输，包括装卸车、货物现场的搬运。</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3.各种设备必须提供装箱清单，按装箱清单验收货物。</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4.货物在现场的保管由乙方负责，直至项目安装、验收完毕。</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5.货物在系统安装调试验收合格前的保险由乙方负责，乙方负责其派出的现场服务人员人身意外保险。</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6.设备至采购人指定的使用现场的包装、保险及发运等环节和费用均由乙方负责。</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五）安装、调试</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1.乙方必须依照竞争性磋商文件的要求和响应文件的承诺，将设备、系统安装并调试至正常运行的最佳状态。</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2.货物为原厂商未启封全新包装，具出厂合格证，序列号、包装箱号与出厂批号一致，并可追索查阅。所有随设备的附件必须齐全。</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3.乙方应将关键主机设备的用户手册、保修手册、有关单证资料及配备件、随机工具等交付给采购人，使用操作及安全须知等重要资料应附有中文说明。</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付款方式</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 1期：支付比例30%。预付款：签订合同后15个工作日内，支付合同总价的30%。</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lastRenderedPageBreak/>
              <w:t>2. 2期：支付比例70%。每台（套）设备货到安装调试后正常运行30天，由采购人出具验收证明书后15个工作日内，支付每台（套）设备相应合同金额的70%。成交人凭以下有效文件与采购人结算：（1）合同；（2）成交人开具的正式发票；（3）验收证明书（加盖采购人公章）；（4）成交通知书。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验收要求</w:t>
            </w:r>
          </w:p>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1期：1、通过采购人指定的质量技术监督检测所检定/校准合格；2、符合最新的产品相关国家标准、行业标准和使用说明书要求；3、产品能正常运行30天，由采购人出具验收证明书；4、各类标准与规范必须是有关官方机构最新发布的现行标准版本。5、货物若有国家标准按照国家标准验收，若无国家标准按行业标准验收，为原制造商制造的全新产品，整机无污染，无侵权行为、表面无划损、无任何缺陷隐患，在中国境内可依常规安全合法使用。6、采购人组成验收小组按国家有关规定、规范进行验收，必要时邀请相关的专业人员或机构参与验收。因货物质量问题发生争议时，由本地质量技术监督部门鉴定。货物符合质量技术标准的，鉴</w:t>
            </w:r>
            <w:r w:rsidRPr="002A45F5">
              <w:rPr>
                <w:rFonts w:asciiTheme="minorEastAsia" w:eastAsiaTheme="minorEastAsia" w:hAnsiTheme="minorEastAsia" w:cs="宋体" w:hint="eastAsia"/>
                <w:sz w:val="21"/>
                <w:szCs w:val="21"/>
                <w:lang w:val="zh-CN" w:bidi="zh-CN"/>
              </w:rPr>
              <w:lastRenderedPageBreak/>
              <w:t>定费由采购人承担；否则鉴定费由成交人承担。</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r w:rsidR="002A45F5" w:rsidRPr="002A45F5" w:rsidTr="002A45F5">
        <w:tc>
          <w:tcPr>
            <w:tcW w:w="479" w:type="dxa"/>
            <w:vAlign w:val="center"/>
          </w:tcPr>
          <w:p w:rsidR="002A45F5" w:rsidRPr="002A45F5" w:rsidRDefault="002A45F5" w:rsidP="002A45F5">
            <w:pPr>
              <w:pStyle w:val="a6"/>
              <w:widowControl w:val="0"/>
              <w:numPr>
                <w:ilvl w:val="0"/>
                <w:numId w:val="3"/>
              </w:numPr>
              <w:autoSpaceDE w:val="0"/>
              <w:autoSpaceDN w:val="0"/>
              <w:adjustRightInd/>
              <w:spacing w:line="360" w:lineRule="auto"/>
              <w:ind w:right="51" w:firstLineChars="0"/>
              <w:jc w:val="center"/>
              <w:rPr>
                <w:rFonts w:asciiTheme="minorEastAsia" w:eastAsiaTheme="minorEastAsia" w:hAnsiTheme="minorEastAsia" w:cs="宋体"/>
                <w:sz w:val="21"/>
                <w:szCs w:val="21"/>
                <w:lang w:val="zh-CN" w:bidi="zh-CN"/>
              </w:rPr>
            </w:pPr>
          </w:p>
        </w:tc>
        <w:tc>
          <w:tcPr>
            <w:tcW w:w="993" w:type="dxa"/>
            <w:vAlign w:val="center"/>
          </w:tcPr>
          <w:p w:rsidR="002A45F5" w:rsidRPr="002A45F5" w:rsidRDefault="002A45F5" w:rsidP="002A45F5">
            <w:pPr>
              <w:widowControl w:val="0"/>
              <w:autoSpaceDE w:val="0"/>
              <w:autoSpaceDN w:val="0"/>
              <w:adjustRightInd/>
              <w:spacing w:line="360" w:lineRule="auto"/>
              <w:ind w:right="51"/>
              <w:jc w:val="center"/>
              <w:rPr>
                <w:rFonts w:asciiTheme="minorEastAsia" w:eastAsiaTheme="minorEastAsia" w:hAnsiTheme="minorEastAsia" w:cs="宋体"/>
                <w:sz w:val="21"/>
                <w:szCs w:val="21"/>
                <w:lang w:val="zh-CN" w:bidi="zh-CN"/>
              </w:rPr>
            </w:pPr>
          </w:p>
        </w:tc>
        <w:tc>
          <w:tcPr>
            <w:tcW w:w="3685" w:type="dxa"/>
            <w:vAlign w:val="center"/>
          </w:tcPr>
          <w:p w:rsid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2A45F5">
              <w:rPr>
                <w:rFonts w:asciiTheme="minorEastAsia" w:eastAsiaTheme="minorEastAsia" w:hAnsiTheme="minorEastAsia" w:cs="宋体" w:hint="eastAsia"/>
                <w:sz w:val="21"/>
                <w:szCs w:val="21"/>
                <w:lang w:val="zh-CN" w:bidi="zh-CN"/>
              </w:rPr>
              <w:t>履约保证金</w:t>
            </w:r>
          </w:p>
          <w:p w:rsidR="002A45F5" w:rsidRPr="002A45F5" w:rsidRDefault="004D45FE"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r w:rsidRPr="004D45FE">
              <w:rPr>
                <w:rFonts w:asciiTheme="minorEastAsia" w:eastAsiaTheme="minorEastAsia" w:hAnsiTheme="minorEastAsia" w:cs="宋体" w:hint="eastAsia"/>
                <w:sz w:val="21"/>
                <w:szCs w:val="21"/>
                <w:lang w:val="zh-CN" w:bidi="zh-CN"/>
              </w:rPr>
              <w:t>收取比例：5%，说明：成交人须在签订合同后5个工作日内，向采购人指定的账户汇入合同金额的5%作为履约保证金。成交人逾期不交付履约保证金，则视为成交人单方终止合同，采购人所造成的损失由成交人负责赔偿。 合同履行期间，出现下列任一情况的，采购人有权没收成交人全部履约保证金，相关规定如下： ①成交人单方终止合同或成交人违约导致采购人终止合同的； ②出现合同约定的其他没收事由。 若成交人没有违约行为，履约保证金在履约验收合格后5个工作日内由采购人无息退还成交人。采购人逾期退还履约保证金的，除应当退还履约保证金本金外，还应当按中国人民银行同期贷款基准利率上浮5%后的利率支付超期资金占用费，但因成交人自身原因导致无法及时退还的除外。</w:t>
            </w:r>
          </w:p>
        </w:tc>
        <w:tc>
          <w:tcPr>
            <w:tcW w:w="1559"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851"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1276"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c>
          <w:tcPr>
            <w:tcW w:w="923" w:type="dxa"/>
            <w:vAlign w:val="center"/>
          </w:tcPr>
          <w:p w:rsidR="002A45F5" w:rsidRPr="002A45F5" w:rsidRDefault="002A45F5" w:rsidP="002A45F5">
            <w:pPr>
              <w:widowControl w:val="0"/>
              <w:autoSpaceDE w:val="0"/>
              <w:autoSpaceDN w:val="0"/>
              <w:adjustRightInd/>
              <w:spacing w:line="360" w:lineRule="auto"/>
              <w:ind w:right="51"/>
              <w:jc w:val="both"/>
              <w:rPr>
                <w:rFonts w:asciiTheme="minorEastAsia" w:eastAsiaTheme="minorEastAsia" w:hAnsiTheme="minorEastAsia" w:cs="宋体"/>
                <w:sz w:val="21"/>
                <w:szCs w:val="21"/>
                <w:lang w:val="zh-CN" w:bidi="zh-CN"/>
              </w:rPr>
            </w:pPr>
          </w:p>
        </w:tc>
      </w:tr>
    </w:tbl>
    <w:p w:rsid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说明：</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1.“磋商文件规定的商务条件”项下填写的内容应与磋商文件中采购需求的 “商务要求”的内容保持一致。</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响应无效。</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3.参数性质栏标注“★”、“▲”号条款标志， 打“★”号条款为实质性条款，若有任何一条负偏</w:t>
      </w:r>
      <w:r w:rsidRPr="002A45F5">
        <w:rPr>
          <w:rFonts w:ascii="宋体" w:eastAsia="宋体" w:hAnsi="宋体" w:cs="宋体" w:hint="eastAsia"/>
          <w:lang w:val="zh-CN" w:bidi="zh-CN"/>
        </w:rPr>
        <w:lastRenderedPageBreak/>
        <w:t>离或不满足则导致响应无效。打“▲”号条款为重要技术参数（如有），若有部分“▲”条款未响应或不满足，将根据评审要求影响其得分，但不作为无效响应条款。</w:t>
      </w:r>
    </w:p>
    <w:p w:rsidR="002A45F5" w:rsidRPr="002A45F5"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4.“是否偏离”项下应按下列规定填写：优于的，填写“正偏离”；符合的，填写“无偏离”；低于的，填写“负偏离”。</w:t>
      </w:r>
    </w:p>
    <w:p w:rsidR="002A45F5" w:rsidRPr="00E2106A" w:rsidRDefault="002A45F5" w:rsidP="002A45F5">
      <w:pPr>
        <w:widowControl w:val="0"/>
        <w:autoSpaceDE w:val="0"/>
        <w:autoSpaceDN w:val="0"/>
        <w:adjustRightInd/>
        <w:snapToGrid/>
        <w:spacing w:after="0" w:line="360" w:lineRule="auto"/>
        <w:ind w:left="196" w:right="49" w:hangingChars="89" w:hanging="196"/>
        <w:rPr>
          <w:rFonts w:ascii="宋体" w:eastAsia="宋体" w:hAnsi="宋体" w:cs="宋体"/>
          <w:lang w:val="zh-CN" w:bidi="zh-CN"/>
        </w:rPr>
      </w:pPr>
      <w:r w:rsidRPr="002A45F5">
        <w:rPr>
          <w:rFonts w:ascii="宋体" w:eastAsia="宋体" w:hAnsi="宋体" w:cs="宋体" w:hint="eastAsia"/>
          <w:lang w:val="zh-CN" w:bidi="zh-CN"/>
        </w:rPr>
        <w:t>5.“备注”处可填写偏离情况的说明。</w:t>
      </w:r>
    </w:p>
    <w:p w:rsidR="00E2106A" w:rsidRPr="00E2106A" w:rsidRDefault="00E2106A" w:rsidP="00E2106A"/>
    <w:sectPr w:rsidR="00E2106A" w:rsidRPr="00E2106A" w:rsidSect="00D64BF1">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A70" w:rsidRDefault="00DB0A70" w:rsidP="00E2106A">
      <w:pPr>
        <w:spacing w:after="0"/>
      </w:pPr>
      <w:r>
        <w:separator/>
      </w:r>
    </w:p>
  </w:endnote>
  <w:endnote w:type="continuationSeparator" w:id="0">
    <w:p w:rsidR="00DB0A70" w:rsidRDefault="00DB0A70" w:rsidP="00E210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A70" w:rsidRDefault="00DB0A70">
    <w:pPr>
      <w:spacing w:line="239" w:lineRule="exact"/>
      <w:rPr>
        <w:rFonts w:ascii="Lucida Sans Unicode" w:eastAsia="Lucida Sans Unicode" w:hAnsi="Lucida Sans Unicode" w:cs="Lucida Sans Unicode"/>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A70" w:rsidRDefault="00DB0A70" w:rsidP="00E2106A">
      <w:pPr>
        <w:spacing w:after="0"/>
      </w:pPr>
      <w:r>
        <w:separator/>
      </w:r>
    </w:p>
  </w:footnote>
  <w:footnote w:type="continuationSeparator" w:id="0">
    <w:p w:rsidR="00DB0A70" w:rsidRDefault="00DB0A70" w:rsidP="00E210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C14532"/>
    <w:multiLevelType w:val="singleLevel"/>
    <w:tmpl w:val="ECC14532"/>
    <w:lvl w:ilvl="0">
      <w:start w:val="1"/>
      <w:numFmt w:val="decimal"/>
      <w:lvlText w:val="%1."/>
      <w:lvlJc w:val="left"/>
      <w:pPr>
        <w:ind w:left="425" w:hanging="425"/>
      </w:pPr>
      <w:rPr>
        <w:rFonts w:hint="default"/>
      </w:rPr>
    </w:lvl>
  </w:abstractNum>
  <w:abstractNum w:abstractNumId="1">
    <w:nsid w:val="23E11F1E"/>
    <w:multiLevelType w:val="multilevel"/>
    <w:tmpl w:val="23E11F1E"/>
    <w:lvl w:ilvl="0">
      <w:start w:val="1"/>
      <w:numFmt w:val="decimal"/>
      <w:lvlText w:val="%1."/>
      <w:lvlJc w:val="left"/>
      <w:pPr>
        <w:ind w:left="106" w:hanging="183"/>
      </w:pPr>
      <w:rPr>
        <w:rFonts w:ascii="Arial Unicode MS" w:eastAsia="Arial Unicode MS" w:hAnsi="Arial Unicode MS" w:cs="Arial Unicode MS" w:hint="default"/>
        <w:spacing w:val="-3"/>
        <w:w w:val="115"/>
        <w:sz w:val="17"/>
        <w:szCs w:val="17"/>
        <w:lang w:val="zh-CN" w:eastAsia="zh-CN" w:bidi="zh-CN"/>
      </w:rPr>
    </w:lvl>
    <w:lvl w:ilvl="1">
      <w:numFmt w:val="bullet"/>
      <w:lvlText w:val="•"/>
      <w:lvlJc w:val="left"/>
      <w:pPr>
        <w:ind w:left="1172" w:hanging="183"/>
      </w:pPr>
      <w:rPr>
        <w:rFonts w:hint="default"/>
        <w:lang w:val="zh-CN" w:eastAsia="zh-CN" w:bidi="zh-CN"/>
      </w:rPr>
    </w:lvl>
    <w:lvl w:ilvl="2">
      <w:numFmt w:val="bullet"/>
      <w:lvlText w:val="•"/>
      <w:lvlJc w:val="left"/>
      <w:pPr>
        <w:ind w:left="2244" w:hanging="183"/>
      </w:pPr>
      <w:rPr>
        <w:rFonts w:hint="default"/>
        <w:lang w:val="zh-CN" w:eastAsia="zh-CN" w:bidi="zh-CN"/>
      </w:rPr>
    </w:lvl>
    <w:lvl w:ilvl="3">
      <w:numFmt w:val="bullet"/>
      <w:lvlText w:val="•"/>
      <w:lvlJc w:val="left"/>
      <w:pPr>
        <w:ind w:left="3316" w:hanging="183"/>
      </w:pPr>
      <w:rPr>
        <w:rFonts w:hint="default"/>
        <w:lang w:val="zh-CN" w:eastAsia="zh-CN" w:bidi="zh-CN"/>
      </w:rPr>
    </w:lvl>
    <w:lvl w:ilvl="4">
      <w:numFmt w:val="bullet"/>
      <w:lvlText w:val="•"/>
      <w:lvlJc w:val="left"/>
      <w:pPr>
        <w:ind w:left="4388" w:hanging="183"/>
      </w:pPr>
      <w:rPr>
        <w:rFonts w:hint="default"/>
        <w:lang w:val="zh-CN" w:eastAsia="zh-CN" w:bidi="zh-CN"/>
      </w:rPr>
    </w:lvl>
    <w:lvl w:ilvl="5">
      <w:numFmt w:val="bullet"/>
      <w:lvlText w:val="•"/>
      <w:lvlJc w:val="left"/>
      <w:pPr>
        <w:ind w:left="5460" w:hanging="183"/>
      </w:pPr>
      <w:rPr>
        <w:rFonts w:hint="default"/>
        <w:lang w:val="zh-CN" w:eastAsia="zh-CN" w:bidi="zh-CN"/>
      </w:rPr>
    </w:lvl>
    <w:lvl w:ilvl="6">
      <w:numFmt w:val="bullet"/>
      <w:lvlText w:val="•"/>
      <w:lvlJc w:val="left"/>
      <w:pPr>
        <w:ind w:left="6532" w:hanging="183"/>
      </w:pPr>
      <w:rPr>
        <w:rFonts w:hint="default"/>
        <w:lang w:val="zh-CN" w:eastAsia="zh-CN" w:bidi="zh-CN"/>
      </w:rPr>
    </w:lvl>
    <w:lvl w:ilvl="7">
      <w:numFmt w:val="bullet"/>
      <w:lvlText w:val="•"/>
      <w:lvlJc w:val="left"/>
      <w:pPr>
        <w:ind w:left="7604" w:hanging="183"/>
      </w:pPr>
      <w:rPr>
        <w:rFonts w:hint="default"/>
        <w:lang w:val="zh-CN" w:eastAsia="zh-CN" w:bidi="zh-CN"/>
      </w:rPr>
    </w:lvl>
    <w:lvl w:ilvl="8">
      <w:numFmt w:val="bullet"/>
      <w:lvlText w:val="•"/>
      <w:lvlJc w:val="left"/>
      <w:pPr>
        <w:ind w:left="8676" w:hanging="183"/>
      </w:pPr>
      <w:rPr>
        <w:rFonts w:hint="default"/>
        <w:lang w:val="zh-CN" w:eastAsia="zh-CN" w:bidi="zh-CN"/>
      </w:rPr>
    </w:lvl>
  </w:abstractNum>
  <w:abstractNum w:abstractNumId="2">
    <w:nsid w:val="6D52423C"/>
    <w:multiLevelType w:val="hybridMultilevel"/>
    <w:tmpl w:val="52C490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D31D50"/>
    <w:rsid w:val="002A45F5"/>
    <w:rsid w:val="002B578F"/>
    <w:rsid w:val="002E25C0"/>
    <w:rsid w:val="00323B43"/>
    <w:rsid w:val="003D37D8"/>
    <w:rsid w:val="00426133"/>
    <w:rsid w:val="004358AB"/>
    <w:rsid w:val="0047039C"/>
    <w:rsid w:val="004D45FE"/>
    <w:rsid w:val="00515842"/>
    <w:rsid w:val="00622436"/>
    <w:rsid w:val="00676310"/>
    <w:rsid w:val="0079118B"/>
    <w:rsid w:val="007C0860"/>
    <w:rsid w:val="008B7726"/>
    <w:rsid w:val="009F474C"/>
    <w:rsid w:val="00A218B3"/>
    <w:rsid w:val="00B530A4"/>
    <w:rsid w:val="00C8158F"/>
    <w:rsid w:val="00CA7413"/>
    <w:rsid w:val="00CD2A1B"/>
    <w:rsid w:val="00D31D50"/>
    <w:rsid w:val="00D64BF1"/>
    <w:rsid w:val="00D8018B"/>
    <w:rsid w:val="00DB0A70"/>
    <w:rsid w:val="00E2106A"/>
    <w:rsid w:val="00E36575"/>
    <w:rsid w:val="00E85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10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2106A"/>
    <w:rPr>
      <w:rFonts w:ascii="Tahoma" w:hAnsi="Tahoma"/>
      <w:sz w:val="18"/>
      <w:szCs w:val="18"/>
    </w:rPr>
  </w:style>
  <w:style w:type="paragraph" w:styleId="a4">
    <w:name w:val="footer"/>
    <w:basedOn w:val="a"/>
    <w:link w:val="Char0"/>
    <w:uiPriority w:val="99"/>
    <w:semiHidden/>
    <w:unhideWhenUsed/>
    <w:rsid w:val="00E2106A"/>
    <w:pPr>
      <w:tabs>
        <w:tab w:val="center" w:pos="4153"/>
        <w:tab w:val="right" w:pos="8306"/>
      </w:tabs>
    </w:pPr>
    <w:rPr>
      <w:sz w:val="18"/>
      <w:szCs w:val="18"/>
    </w:rPr>
  </w:style>
  <w:style w:type="character" w:customStyle="1" w:styleId="Char0">
    <w:name w:val="页脚 Char"/>
    <w:basedOn w:val="a0"/>
    <w:link w:val="a4"/>
    <w:uiPriority w:val="99"/>
    <w:semiHidden/>
    <w:rsid w:val="00E2106A"/>
    <w:rPr>
      <w:rFonts w:ascii="Tahoma" w:hAnsi="Tahoma"/>
      <w:sz w:val="18"/>
      <w:szCs w:val="18"/>
    </w:rPr>
  </w:style>
  <w:style w:type="table" w:customStyle="1" w:styleId="TableNormal">
    <w:name w:val="Table Normal"/>
    <w:uiPriority w:val="2"/>
    <w:semiHidden/>
    <w:unhideWhenUsed/>
    <w:qFormat/>
    <w:rsid w:val="00E2106A"/>
    <w:pPr>
      <w:spacing w:after="0" w:line="240" w:lineRule="auto"/>
    </w:pPr>
    <w:rPr>
      <w:rFonts w:eastAsia="宋体"/>
      <w:sz w:val="20"/>
      <w:szCs w:val="20"/>
    </w:rPr>
    <w:tblPr>
      <w:tblCellMar>
        <w:top w:w="0" w:type="dxa"/>
        <w:left w:w="0" w:type="dxa"/>
        <w:bottom w:w="0" w:type="dxa"/>
        <w:right w:w="0" w:type="dxa"/>
      </w:tblCellMar>
    </w:tblPr>
  </w:style>
  <w:style w:type="table" w:customStyle="1" w:styleId="TableNormal1">
    <w:name w:val="Table Normal1"/>
    <w:uiPriority w:val="2"/>
    <w:semiHidden/>
    <w:unhideWhenUsed/>
    <w:qFormat/>
    <w:rsid w:val="00E2106A"/>
    <w:pPr>
      <w:spacing w:after="0" w:line="240" w:lineRule="auto"/>
    </w:pPr>
    <w:rPr>
      <w:rFonts w:eastAsia="宋体"/>
      <w:sz w:val="20"/>
      <w:szCs w:val="20"/>
    </w:rPr>
    <w:tblPr>
      <w:tblCellMar>
        <w:top w:w="0" w:type="dxa"/>
        <w:left w:w="0" w:type="dxa"/>
        <w:bottom w:w="0" w:type="dxa"/>
        <w:right w:w="0" w:type="dxa"/>
      </w:tblCellMar>
    </w:tblPr>
  </w:style>
  <w:style w:type="table" w:customStyle="1" w:styleId="TableNormal2">
    <w:name w:val="Table Normal2"/>
    <w:uiPriority w:val="2"/>
    <w:unhideWhenUsed/>
    <w:qFormat/>
    <w:rsid w:val="00E2106A"/>
    <w:pPr>
      <w:spacing w:after="0" w:line="240" w:lineRule="auto"/>
    </w:pPr>
    <w:rPr>
      <w:rFonts w:ascii="Times New Roman" w:eastAsia="宋体" w:hAnsi="Times New Roman" w:cs="Times New Roman"/>
      <w:sz w:val="20"/>
      <w:szCs w:val="20"/>
    </w:rPr>
    <w:tblPr>
      <w:tblCellMar>
        <w:top w:w="0" w:type="dxa"/>
        <w:left w:w="0" w:type="dxa"/>
        <w:bottom w:w="0" w:type="dxa"/>
        <w:right w:w="0" w:type="dxa"/>
      </w:tblCellMar>
    </w:tblPr>
  </w:style>
  <w:style w:type="table" w:styleId="a5">
    <w:name w:val="Table Grid"/>
    <w:basedOn w:val="a1"/>
    <w:uiPriority w:val="59"/>
    <w:rsid w:val="002A4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A45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cp:revision>
  <dcterms:created xsi:type="dcterms:W3CDTF">2008-09-11T17:20:00Z</dcterms:created>
  <dcterms:modified xsi:type="dcterms:W3CDTF">2022-06-07T05:57:00Z</dcterms:modified>
</cp:coreProperties>
</file>