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b/>
          <w:color w:val="auto"/>
          <w:sz w:val="24"/>
        </w:rPr>
      </w:pPr>
    </w:p>
    <w:p>
      <w:pPr>
        <w:spacing w:before="158"/>
        <w:ind w:left="100"/>
        <w:rPr>
          <w:b/>
          <w:color w:val="auto"/>
          <w:sz w:val="24"/>
        </w:rPr>
      </w:pPr>
      <w:r>
        <w:rPr>
          <w:b/>
          <w:color w:val="auto"/>
          <w:sz w:val="24"/>
        </w:rPr>
        <w:t>《技术和服务要求响应表》</w:t>
      </w:r>
    </w:p>
    <w:p>
      <w:pPr>
        <w:rPr>
          <w:color w:val="auto"/>
          <w:sz w:val="24"/>
        </w:rPr>
        <w:sectPr>
          <w:footerReference r:id="rId3" w:type="default"/>
          <w:pgSz w:w="11900" w:h="16840"/>
          <w:pgMar w:top="740" w:right="520" w:bottom="280" w:left="560" w:header="0" w:footer="567" w:gutter="0"/>
          <w:cols w:equalWidth="0" w:num="2">
            <w:col w:w="1209" w:space="2560"/>
            <w:col w:w="7051"/>
          </w:cols>
        </w:sectPr>
      </w:pPr>
    </w:p>
    <w:p>
      <w:pPr>
        <w:pStyle w:val="5"/>
        <w:spacing w:before="3"/>
        <w:rPr>
          <w:b/>
          <w:color w:val="auto"/>
          <w:sz w:val="17"/>
        </w:rPr>
      </w:pPr>
    </w:p>
    <w:tbl>
      <w:tblPr>
        <w:tblStyle w:val="14"/>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1055"/>
        <w:gridCol w:w="1055"/>
        <w:gridCol w:w="2110"/>
        <w:gridCol w:w="1583"/>
        <w:gridCol w:w="1055"/>
        <w:gridCol w:w="1055"/>
        <w:gridCol w:w="1252"/>
        <w:gridCol w:w="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shd w:val="clear" w:color="auto" w:fill="E7E6E6"/>
            <w:noWrap w:val="0"/>
            <w:vAlign w:val="center"/>
          </w:tcPr>
          <w:p>
            <w:pPr>
              <w:keepNext w:val="0"/>
              <w:keepLines w:val="0"/>
              <w:pageBreakBefore w:val="0"/>
              <w:kinsoku/>
              <w:wordWrap/>
              <w:overflowPunct/>
              <w:topLinePunct w:val="0"/>
              <w:bidi w:val="0"/>
              <w:adjustRightInd/>
              <w:snapToGrid w:val="0"/>
              <w:spacing w:line="240" w:lineRule="auto"/>
              <w:ind w:firstLine="119"/>
              <w:jc w:val="center"/>
              <w:rPr>
                <w:color w:val="auto"/>
                <w:sz w:val="20"/>
                <w:szCs w:val="20"/>
                <w:highlight w:val="none"/>
              </w:rPr>
            </w:pPr>
            <w:r>
              <w:rPr>
                <w:rFonts w:hint="eastAsia"/>
                <w:color w:val="auto"/>
                <w:spacing w:val="1"/>
                <w:sz w:val="20"/>
                <w:szCs w:val="20"/>
                <w:highlight w:val="none"/>
              </w:rPr>
              <w:t>序号</w:t>
            </w:r>
          </w:p>
        </w:tc>
        <w:tc>
          <w:tcPr>
            <w:tcW w:w="1055" w:type="dxa"/>
            <w:shd w:val="clear" w:color="auto" w:fill="E7E6E6"/>
            <w:noWrap w:val="0"/>
            <w:vAlign w:val="center"/>
          </w:tcPr>
          <w:p>
            <w:pPr>
              <w:keepNext w:val="0"/>
              <w:keepLines w:val="0"/>
              <w:pageBreakBefore w:val="0"/>
              <w:kinsoku/>
              <w:wordWrap/>
              <w:overflowPunct/>
              <w:topLinePunct w:val="0"/>
              <w:bidi w:val="0"/>
              <w:adjustRightInd/>
              <w:snapToGrid w:val="0"/>
              <w:spacing w:line="240" w:lineRule="auto"/>
              <w:jc w:val="center"/>
              <w:rPr>
                <w:rFonts w:hint="eastAsia" w:eastAsia="宋体"/>
                <w:color w:val="auto"/>
                <w:sz w:val="20"/>
                <w:szCs w:val="20"/>
                <w:highlight w:val="none"/>
                <w:lang w:eastAsia="zh-CN"/>
              </w:rPr>
            </w:pPr>
            <w:r>
              <w:rPr>
                <w:rFonts w:hint="eastAsia"/>
                <w:color w:val="auto"/>
                <w:sz w:val="20"/>
                <w:szCs w:val="20"/>
                <w:highlight w:val="none"/>
                <w:lang w:eastAsia="zh-CN"/>
              </w:rPr>
              <w:t>标的名称</w:t>
            </w:r>
          </w:p>
        </w:tc>
        <w:tc>
          <w:tcPr>
            <w:tcW w:w="1055" w:type="dxa"/>
            <w:shd w:val="clear" w:color="auto" w:fill="E7E6E6"/>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olor w:val="auto"/>
                <w:spacing w:val="8"/>
                <w:sz w:val="20"/>
                <w:szCs w:val="20"/>
                <w:highlight w:val="none"/>
              </w:rPr>
              <w:t>参数性质</w:t>
            </w:r>
          </w:p>
        </w:tc>
        <w:tc>
          <w:tcPr>
            <w:tcW w:w="2110" w:type="dxa"/>
            <w:shd w:val="clear" w:color="auto" w:fill="E7E6E6"/>
            <w:noWrap w:val="0"/>
            <w:vAlign w:val="center"/>
          </w:tcPr>
          <w:p>
            <w:pPr>
              <w:pStyle w:val="28"/>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olor w:val="auto"/>
                <w:spacing w:val="8"/>
                <w:sz w:val="20"/>
                <w:szCs w:val="20"/>
                <w:highlight w:val="none"/>
                <w:lang w:eastAsia="zh-CN"/>
              </w:rPr>
              <w:t>采购文件</w:t>
            </w:r>
            <w:r>
              <w:rPr>
                <w:rFonts w:hint="eastAsia"/>
                <w:color w:val="auto"/>
                <w:spacing w:val="8"/>
                <w:sz w:val="20"/>
                <w:szCs w:val="20"/>
                <w:highlight w:val="none"/>
              </w:rPr>
              <w:t>规定的技术和服务要求</w:t>
            </w:r>
          </w:p>
        </w:tc>
        <w:tc>
          <w:tcPr>
            <w:tcW w:w="1583" w:type="dxa"/>
            <w:shd w:val="clear" w:color="auto" w:fill="E7E6E6"/>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r>
              <w:rPr>
                <w:rFonts w:hint="eastAsia"/>
                <w:color w:val="auto"/>
                <w:sz w:val="20"/>
                <w:szCs w:val="20"/>
                <w:highlight w:val="none"/>
                <w:lang w:eastAsia="zh-CN"/>
              </w:rPr>
              <w:t>投标文件</w:t>
            </w:r>
            <w:r>
              <w:rPr>
                <w:rFonts w:hint="eastAsia"/>
                <w:color w:val="auto"/>
                <w:sz w:val="20"/>
                <w:szCs w:val="20"/>
                <w:highlight w:val="none"/>
              </w:rPr>
              <w:t>响应</w:t>
            </w:r>
          </w:p>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olor w:val="auto"/>
                <w:sz w:val="20"/>
                <w:szCs w:val="20"/>
                <w:highlight w:val="none"/>
              </w:rPr>
              <w:t>的具体内容</w:t>
            </w:r>
          </w:p>
        </w:tc>
        <w:tc>
          <w:tcPr>
            <w:tcW w:w="1055" w:type="dxa"/>
            <w:shd w:val="clear" w:color="auto" w:fill="E7E6E6"/>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olor w:val="auto"/>
                <w:sz w:val="20"/>
                <w:szCs w:val="20"/>
                <w:highlight w:val="none"/>
              </w:rPr>
              <w:t>型号</w:t>
            </w:r>
          </w:p>
        </w:tc>
        <w:tc>
          <w:tcPr>
            <w:tcW w:w="1055" w:type="dxa"/>
            <w:shd w:val="clear" w:color="auto" w:fill="E7E6E6"/>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olor w:val="auto"/>
                <w:spacing w:val="8"/>
                <w:sz w:val="20"/>
                <w:szCs w:val="20"/>
                <w:highlight w:val="none"/>
              </w:rPr>
              <w:t>是否偏离</w:t>
            </w:r>
          </w:p>
        </w:tc>
        <w:tc>
          <w:tcPr>
            <w:tcW w:w="1252" w:type="dxa"/>
            <w:shd w:val="clear" w:color="auto" w:fill="E7E6E6"/>
            <w:noWrap w:val="0"/>
            <w:vAlign w:val="center"/>
          </w:tcPr>
          <w:p>
            <w:pPr>
              <w:keepNext w:val="0"/>
              <w:keepLines w:val="0"/>
              <w:pageBreakBefore w:val="0"/>
              <w:kinsoku/>
              <w:wordWrap/>
              <w:overflowPunct/>
              <w:topLinePunct w:val="0"/>
              <w:bidi w:val="0"/>
              <w:adjustRightInd/>
              <w:snapToGrid w:val="0"/>
              <w:spacing w:line="240" w:lineRule="auto"/>
              <w:ind w:firstLine="180"/>
              <w:jc w:val="center"/>
              <w:rPr>
                <w:color w:val="auto"/>
                <w:sz w:val="20"/>
                <w:szCs w:val="20"/>
                <w:highlight w:val="none"/>
              </w:rPr>
            </w:pPr>
            <w:r>
              <w:rPr>
                <w:rFonts w:hint="eastAsia"/>
                <w:color w:val="auto"/>
                <w:sz w:val="20"/>
                <w:szCs w:val="20"/>
                <w:highlight w:val="none"/>
              </w:rPr>
              <w:t>证明文件所在位置</w:t>
            </w:r>
          </w:p>
        </w:tc>
        <w:tc>
          <w:tcPr>
            <w:tcW w:w="853" w:type="dxa"/>
            <w:shd w:val="clear" w:color="auto" w:fill="E7E6E6"/>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olor w:val="auto"/>
                <w:spacing w:val="1"/>
                <w:sz w:val="20"/>
                <w:szCs w:val="20"/>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eastAsia="宋体"/>
                <w:color w:val="auto"/>
                <w:sz w:val="20"/>
                <w:szCs w:val="20"/>
                <w:highlight w:val="none"/>
                <w:lang w:eastAsia="zh-CN"/>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ascii="宋体" w:hAnsi="宋体" w:eastAsia="宋体" w:cs="宋体"/>
                <w:color w:val="auto"/>
                <w:sz w:val="20"/>
                <w:szCs w:val="20"/>
                <w:highlight w:val="none"/>
                <w:lang w:val="zh-CN" w:eastAsia="zh-CN" w:bidi="zh-CN"/>
              </w:rPr>
            </w:pPr>
          </w:p>
        </w:tc>
        <w:tc>
          <w:tcPr>
            <w:tcW w:w="2110" w:type="dxa"/>
            <w:noWrap w:val="0"/>
            <w:vAlign w:val="center"/>
          </w:tcPr>
          <w:p>
            <w:pPr>
              <w:keepNext w:val="0"/>
              <w:keepLines w:val="0"/>
              <w:widowControl/>
              <w:suppressLineNumbers w:val="0"/>
              <w:jc w:val="left"/>
              <w:textAlignment w:val="center"/>
              <w:rPr>
                <w:rFonts w:hint="eastAsia" w:ascii="Times New Roman" w:hAnsi="Times New Roman"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1、彩色多普勒超声仪（2套）包括：1.1 主机一体化LCD显示器≥21英寸，全方位关节臂旋转</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default"/>
                <w:color w:val="auto"/>
                <w:sz w:val="20"/>
                <w:szCs w:val="20"/>
                <w:highlight w:val="none"/>
                <w:lang w:val="en-US" w:eastAsia="zh-CN"/>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color w:val="auto"/>
                <w:sz w:val="20"/>
                <w:szCs w:val="20"/>
                <w:highlight w:val="none"/>
              </w:rPr>
            </w:pPr>
            <w:r>
              <w:rPr>
                <w:rFonts w:hint="eastAsia" w:ascii="宋体" w:hAnsi="宋体" w:eastAsia="宋体" w:cs="宋体"/>
                <w:i w:val="0"/>
                <w:iCs w:val="0"/>
                <w:color w:val="auto"/>
                <w:kern w:val="0"/>
                <w:sz w:val="21"/>
                <w:szCs w:val="21"/>
                <w:u w:val="none"/>
                <w:lang w:val="en-US" w:eastAsia="zh-CN" w:bidi="ar"/>
              </w:rPr>
              <w:t>1.2 液晶触摸屏</w:t>
            </w:r>
            <w:r>
              <w:rPr>
                <w:rStyle w:val="29"/>
                <w:color w:val="auto"/>
                <w:lang w:val="en-US" w:eastAsia="zh-CN" w:bidi="ar"/>
              </w:rPr>
              <w:t>≥12英寸</w:t>
            </w:r>
            <w:r>
              <w:rPr>
                <w:rStyle w:val="30"/>
                <w:color w:val="auto"/>
                <w:lang w:val="en-US" w:eastAsia="zh-CN" w:bidi="ar"/>
              </w:rPr>
              <w:t>, 可通过触控屏的多点触控进行容积图像的旋转、放大、切割等直观操作,也可以通过触屏上手势划线实现任意切面成像以及多光源调节功能</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bookmarkStart w:id="0" w:name="_GoBack"/>
            <w:bookmarkEnd w:id="0"/>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color w:val="auto"/>
                <w:sz w:val="20"/>
                <w:szCs w:val="20"/>
                <w:highlight w:val="none"/>
              </w:rPr>
            </w:pPr>
            <w:r>
              <w:rPr>
                <w:rFonts w:hint="eastAsia" w:ascii="宋体" w:hAnsi="宋体" w:eastAsia="宋体" w:cs="宋体"/>
                <w:i w:val="0"/>
                <w:iCs w:val="0"/>
                <w:color w:val="auto"/>
                <w:kern w:val="0"/>
                <w:sz w:val="21"/>
                <w:szCs w:val="21"/>
                <w:u w:val="none"/>
                <w:lang w:val="en-US" w:eastAsia="zh-CN" w:bidi="ar"/>
              </w:rPr>
              <w:t>1.3 数字化二维灰阶成像单元</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color w:val="auto"/>
                <w:sz w:val="20"/>
                <w:szCs w:val="20"/>
                <w:highlight w:val="none"/>
              </w:rPr>
            </w:pPr>
            <w:r>
              <w:rPr>
                <w:rFonts w:hint="eastAsia" w:ascii="宋体" w:hAnsi="宋体" w:eastAsia="宋体" w:cs="宋体"/>
                <w:i w:val="0"/>
                <w:iCs w:val="0"/>
                <w:color w:val="auto"/>
                <w:kern w:val="0"/>
                <w:sz w:val="21"/>
                <w:szCs w:val="21"/>
                <w:u w:val="none"/>
                <w:lang w:val="en-US" w:eastAsia="zh-CN" w:bidi="ar"/>
              </w:rPr>
              <w:t>1.4 数字化彩色多普勒单元</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color w:val="auto"/>
                <w:sz w:val="20"/>
                <w:szCs w:val="20"/>
                <w:highlight w:val="none"/>
              </w:rPr>
            </w:pPr>
            <w:r>
              <w:rPr>
                <w:rFonts w:hint="eastAsia" w:ascii="宋体" w:hAnsi="宋体" w:eastAsia="宋体" w:cs="宋体"/>
                <w:i w:val="0"/>
                <w:iCs w:val="0"/>
                <w:color w:val="auto"/>
                <w:kern w:val="0"/>
                <w:sz w:val="21"/>
                <w:szCs w:val="21"/>
                <w:u w:val="none"/>
                <w:lang w:val="en-US" w:eastAsia="zh-CN" w:bidi="ar"/>
              </w:rPr>
              <w:t>1.5 数字化能量多普勒成像单元</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1.6 PW脉冲波多普勒成像单元</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1.7 CW连续波多普勒成像单元</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1.8 实时四维成像单元</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olor w:val="auto"/>
                <w:sz w:val="21"/>
                <w:szCs w:val="21"/>
              </w:rPr>
              <w:t>▲</w:t>
            </w: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▲1.9 二维凸阵探头可以支持CW连续波多普勒成像，便于进行胎儿心脏血流速度测量</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1.10 胎儿心脏成像模式，可以同时实现2条解剖M型</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olor w:val="auto"/>
                <w:sz w:val="21"/>
                <w:szCs w:val="21"/>
              </w:rPr>
              <w:t>▲</w:t>
            </w: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▲1.11 二维灰阶血流成像技术，采用非多普勒原理，无彩色取样框限制，不需要造影剂，可以对血流进行实时显示，反应血流动力学真实状态</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olor w:val="auto"/>
                <w:sz w:val="21"/>
                <w:szCs w:val="21"/>
              </w:rPr>
              <w:t>▲</w:t>
            </w: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▲1.12 二维立体血流成像技术，二维探头即可呈现立体血流形态，增强血流边界的显示及可视化效果。需要附产品白皮书，并有相关二维立体血流成像的描述说明</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1.13 具有二维超低速血流显示技术，三维超低速血流显示技术，全面显示组织器官微血流灌注状态</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1.14 组织多普勒成像技术</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1.15 弹性成像技术</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1.16 宽景成像技术，支持所有凸阵和线阵探头</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olor w:val="auto"/>
                <w:sz w:val="21"/>
                <w:szCs w:val="21"/>
              </w:rPr>
              <w:t>▲</w:t>
            </w: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▲1.17 主机内置ESHRE（欧洲人类生殖与胚胎学学会）与ESGE（欧洲妇科内镜学会）指南推荐的子宫形态分类方法，可以直接根据示意图，判断子宫形态。（附指南示意图）</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olor w:val="auto"/>
                <w:sz w:val="21"/>
                <w:szCs w:val="21"/>
              </w:rPr>
              <w:t>▲</w:t>
            </w: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▲1.18 具备IDEA（国际深度子宫内膜异位症组织）专家共识推荐的标准超声图文评估流程助手，帮助使用者对深度子宫内膜异位症进行标准化评估</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 xml:space="preserve">1.19 </w:t>
            </w:r>
            <w:r>
              <w:rPr>
                <w:rStyle w:val="29"/>
                <w:color w:val="auto"/>
                <w:lang w:val="en-US" w:eastAsia="zh-CN" w:bidi="ar"/>
              </w:rPr>
              <w:t>至少</w:t>
            </w:r>
            <w:r>
              <w:rPr>
                <w:rStyle w:val="30"/>
                <w:color w:val="auto"/>
                <w:lang w:val="en-US" w:eastAsia="zh-CN" w:bidi="ar"/>
              </w:rPr>
              <w:t>支持机械指数和热指数警报设置，可自定义声输出限制并将其设定到系统中，将在扫描时提供超预设警报</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1.20具有声影抑制消除技术，提升声影区域图像显示效果</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2、容积四维成像技术：2.1 支持灰阶及血流三维/四维成像模式，具有虚拟光源移动技术，最大支持3个独立的可移动光源。可实现表面成像和透视剪影成像，同时观察组织的外部轮廓和内部结构</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2.2 断层超声显像技术</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2.3 具有胎儿自动识别技术，可实时自动跟踪胎儿运动并调整容积成像框位置，快速获得胎儿表面容积成像</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2.4  卵泡智能容积成像，自动彩色编码显示，并按照体积大小排序及计数</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olor w:val="auto"/>
                <w:sz w:val="21"/>
                <w:szCs w:val="21"/>
              </w:rPr>
              <w:t>▲</w:t>
            </w: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▲2.5 专用窦卵泡智能容积成像，自动彩色编码显示，并按照体积大小排序及计数</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2.6 STIC时间空间相关成像技术</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olor w:val="auto"/>
                <w:sz w:val="21"/>
                <w:szCs w:val="21"/>
              </w:rPr>
              <w:t>▲</w:t>
            </w: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▲2.7 胎心容积导航技术，</w:t>
            </w:r>
            <w:r>
              <w:rPr>
                <w:rStyle w:val="29"/>
                <w:color w:val="auto"/>
                <w:lang w:val="en-US" w:eastAsia="zh-CN" w:bidi="ar"/>
              </w:rPr>
              <w:t>≦</w:t>
            </w:r>
            <w:r>
              <w:rPr>
                <w:rStyle w:val="30"/>
                <w:color w:val="auto"/>
                <w:lang w:val="en-US" w:eastAsia="zh-CN" w:bidi="ar"/>
              </w:rPr>
              <w:t>2步自动获取包括四腔心、左室流出道、右室流出道、胃泡、静脉连接、导管弓、主动脉弓、三血管气管切面。（附8个切面屏幕截图）</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2.8 具有实时四维穿刺引导功能，有穿刺引导线</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2.9 腔内容积探头具有四维实时对比谐波造影功能，支持阴道子宫输卵管超声造影检查</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olor w:val="auto"/>
                <w:sz w:val="21"/>
                <w:szCs w:val="21"/>
              </w:rPr>
              <w:t>▲</w:t>
            </w: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▲2.10 胎儿颅脑自动分析功能，基于深度学习算法支持，一键自动获取胎儿颅脑正中矢状面，经丘脑平面，经小脑平面，经侧脑室平面。一键自动同时测量BPD,HC,OFD, CM 后颅窝池, Cerebellum小脑横径, Vp 侧脑室后脚</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olor w:val="auto"/>
                <w:sz w:val="21"/>
                <w:szCs w:val="21"/>
              </w:rPr>
              <w:t>▲</w:t>
            </w: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▲2.11 具备智能三维产程监测功能，能够测量胎儿头部进程、旋转和方向，并同时自动产生一个包括了超声波客观数据、手动输入数据在内的产程报告</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2.12 基于二维斑点追踪技术同时对左右心室进行</w:t>
            </w:r>
            <w:r>
              <w:rPr>
                <w:rStyle w:val="29"/>
                <w:color w:val="auto"/>
                <w:lang w:val="en-US" w:eastAsia="zh-CN" w:bidi="ar"/>
              </w:rPr>
              <w:t>不少于</w:t>
            </w:r>
            <w:r>
              <w:rPr>
                <w:rStyle w:val="30"/>
                <w:color w:val="auto"/>
                <w:lang w:val="en-US" w:eastAsia="zh-CN" w:bidi="ar"/>
              </w:rPr>
              <w:t>24段定量分析功能，对胎儿心脏的大小、形状、收缩力进行自动测量及分析，可显示直观全面的评估报告</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2.13 可清晰显示低回音或液性暗区的立体机构</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ascii="宋体" w:hAnsi="宋体" w:eastAsia="宋体" w:cs="宋体"/>
                <w:color w:val="auto"/>
                <w:sz w:val="20"/>
                <w:szCs w:val="20"/>
                <w:highlight w:val="none"/>
                <w:lang w:val="en-US" w:eastAsia="zh-CN" w:bidi="zh-CN"/>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3、测量和分析（B型、M型、频谱多普勒、彩色模式）3.1 一般测量</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3.2 多普勒血流测量与分析，具有自动包络功能</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3.3 妇产，心脏，血管，儿科等测量与分析</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3.4 支持胎儿生长指标自动测量功能，</w:t>
            </w:r>
            <w:r>
              <w:rPr>
                <w:rStyle w:val="29"/>
                <w:color w:val="auto"/>
                <w:lang w:val="en-US" w:eastAsia="zh-CN" w:bidi="ar"/>
              </w:rPr>
              <w:t>至少</w:t>
            </w:r>
            <w:r>
              <w:rPr>
                <w:rStyle w:val="30"/>
                <w:color w:val="auto"/>
                <w:lang w:val="en-US" w:eastAsia="zh-CN" w:bidi="ar"/>
              </w:rPr>
              <w:t>包括胎儿双顶径、枕额径、头围、腹围、股骨长、肱骨长</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3.5 自动NT测量技术</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3.6 自动IT测量技术</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3.7 不规则体积测量技术，快速测量一个或多个低回声的不规则体的体积</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3.8 容积能量模式直方图技术，结合不规则体积测量可计算</w:t>
            </w:r>
            <w:r>
              <w:rPr>
                <w:rStyle w:val="29"/>
                <w:color w:val="auto"/>
                <w:lang w:val="en-US" w:eastAsia="zh-CN" w:bidi="ar"/>
              </w:rPr>
              <w:t>血管指数</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4、图像存储、管理及回放重现：4.1 输入/输出信号：</w:t>
            </w:r>
            <w:r>
              <w:rPr>
                <w:rStyle w:val="29"/>
                <w:color w:val="auto"/>
                <w:lang w:val="en-US" w:eastAsia="zh-CN" w:bidi="ar"/>
              </w:rPr>
              <w:t>至少包括</w:t>
            </w:r>
            <w:r>
              <w:rPr>
                <w:rStyle w:val="30"/>
                <w:color w:val="auto"/>
                <w:lang w:val="en-US" w:eastAsia="zh-CN" w:bidi="ar"/>
              </w:rPr>
              <w:t>USB, HDMI, S-Video, VGA</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4.2 连通性：</w:t>
            </w:r>
            <w:r>
              <w:rPr>
                <w:rStyle w:val="29"/>
                <w:color w:val="auto"/>
                <w:lang w:val="en-US" w:eastAsia="zh-CN" w:bidi="ar"/>
              </w:rPr>
              <w:t>至少包括</w:t>
            </w:r>
            <w:r>
              <w:rPr>
                <w:rStyle w:val="30"/>
                <w:color w:val="auto"/>
                <w:lang w:val="en-US" w:eastAsia="zh-CN" w:bidi="ar"/>
              </w:rPr>
              <w:t>医学数字图像和通信DICOM 3.0</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4.3 超声图像存档与病案管理系统</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4.4 回放重现单元</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4.5 硬盘容量</w:t>
            </w:r>
            <w:r>
              <w:rPr>
                <w:rStyle w:val="29"/>
                <w:color w:val="auto"/>
                <w:lang w:val="en-US" w:eastAsia="zh-CN" w:bidi="ar"/>
              </w:rPr>
              <w:t>&gt;1.8 T</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4.6 一体化剪帖板：可以存储和回放动态及静态图像</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olor w:val="auto"/>
                <w:sz w:val="21"/>
                <w:szCs w:val="21"/>
              </w:rPr>
              <w:t>▲</w:t>
            </w: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▲4.7 支持一键式输出3D打印格式，</w:t>
            </w:r>
            <w:r>
              <w:rPr>
                <w:rStyle w:val="29"/>
                <w:color w:val="auto"/>
                <w:lang w:val="en-US" w:eastAsia="zh-CN" w:bidi="ar"/>
              </w:rPr>
              <w:t>至少</w:t>
            </w:r>
            <w:r>
              <w:rPr>
                <w:rStyle w:val="30"/>
                <w:color w:val="auto"/>
                <w:lang w:val="en-US" w:eastAsia="zh-CN" w:bidi="ar"/>
              </w:rPr>
              <w:t>包括STL、OBJ、PLY、3MF、XYZ格式</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5、技术参数要求：5.1 监视器</w:t>
            </w:r>
            <w:r>
              <w:rPr>
                <w:rStyle w:val="29"/>
                <w:color w:val="auto"/>
                <w:lang w:val="en-US" w:eastAsia="zh-CN" w:bidi="ar"/>
              </w:rPr>
              <w:t>≥21英寸</w:t>
            </w:r>
            <w:r>
              <w:rPr>
                <w:rStyle w:val="30"/>
                <w:color w:val="auto"/>
                <w:lang w:val="en-US" w:eastAsia="zh-CN" w:bidi="ar"/>
              </w:rPr>
              <w:t>高分辨率LCD监视器</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5.2 操作控制台，可</w:t>
            </w:r>
            <w:r>
              <w:rPr>
                <w:rStyle w:val="29"/>
                <w:color w:val="auto"/>
                <w:lang w:val="en-US" w:eastAsia="zh-CN" w:bidi="ar"/>
              </w:rPr>
              <w:t>电动</w:t>
            </w:r>
            <w:r>
              <w:rPr>
                <w:rStyle w:val="30"/>
                <w:color w:val="auto"/>
                <w:lang w:val="en-US" w:eastAsia="zh-CN" w:bidi="ar"/>
              </w:rPr>
              <w:t>垂直调节高度，并可左右转动、前后移动和锁定</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5.3 探头接口：</w:t>
            </w:r>
            <w:r>
              <w:rPr>
                <w:rStyle w:val="29"/>
                <w:color w:val="auto"/>
                <w:lang w:val="en-US" w:eastAsia="zh-CN" w:bidi="ar"/>
              </w:rPr>
              <w:t>＞3个</w:t>
            </w:r>
            <w:r>
              <w:rPr>
                <w:rStyle w:val="30"/>
                <w:color w:val="auto"/>
                <w:lang w:val="en-US" w:eastAsia="zh-CN" w:bidi="ar"/>
              </w:rPr>
              <w:t>，探头接口为无针式接口</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 xml:space="preserve">5.4 </w:t>
            </w:r>
            <w:r>
              <w:rPr>
                <w:rStyle w:val="29"/>
                <w:color w:val="auto"/>
                <w:lang w:val="en-US" w:eastAsia="zh-CN" w:bidi="ar"/>
              </w:rPr>
              <w:t>≥11英寸</w:t>
            </w:r>
            <w:r>
              <w:rPr>
                <w:rStyle w:val="30"/>
                <w:color w:val="auto"/>
                <w:lang w:val="en-US" w:eastAsia="zh-CN" w:bidi="ar"/>
              </w:rPr>
              <w:t>多点触控触摸屏</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5.5 空间分辨率：</w:t>
            </w:r>
            <w:r>
              <w:rPr>
                <w:rStyle w:val="29"/>
                <w:color w:val="auto"/>
                <w:lang w:val="en-US" w:eastAsia="zh-CN" w:bidi="ar"/>
              </w:rPr>
              <w:t>符合国家标准</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 xml:space="preserve">5.6 超声功率输出调节：B/M、PWD、Color Doppler输出功率可调 </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6、探头6.1 频率：超宽频、变频探头，工作频率可显示，变频探头中心频率可选择</w:t>
            </w:r>
            <w:r>
              <w:rPr>
                <w:rStyle w:val="29"/>
                <w:color w:val="auto"/>
                <w:lang w:val="en-US" w:eastAsia="zh-CN" w:bidi="ar"/>
              </w:rPr>
              <w:t>＞2种</w:t>
            </w:r>
            <w:r>
              <w:rPr>
                <w:rStyle w:val="30"/>
                <w:color w:val="auto"/>
                <w:lang w:val="en-US" w:eastAsia="zh-CN" w:bidi="ar"/>
              </w:rPr>
              <w:t>，多普勒频率</w:t>
            </w:r>
            <w:r>
              <w:rPr>
                <w:rStyle w:val="29"/>
                <w:color w:val="auto"/>
                <w:lang w:val="en-US" w:eastAsia="zh-CN" w:bidi="ar"/>
              </w:rPr>
              <w:t>＞2种</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6.2 腹部容积探头：超声频率,1-7MHz（2把）</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6.3 腹部二维探头：超声频率,2-5MHz（1把）、超声频率,3-8MHz（2把）</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6.4 腔内容积探头：超声频率 6-12MHz（1把）、超声频率,4-9MHz（1把）</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6.5 腔内探头：超声频率4-9MHz（1把）</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6.6 容积探头：超声频率3-6MHz（1把）</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6.7 血管探头：超声频率3-8MHz（1把）</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7、二维灰阶及容积成像主要参数7.1 凸阵探头，全视野，17cm深度时，在最高线密度下，二维帧频≥</w:t>
            </w:r>
            <w:r>
              <w:rPr>
                <w:rStyle w:val="29"/>
                <w:color w:val="auto"/>
                <w:lang w:val="en-US" w:eastAsia="zh-CN" w:bidi="ar"/>
              </w:rPr>
              <w:t>29</w:t>
            </w:r>
            <w:r>
              <w:rPr>
                <w:rStyle w:val="30"/>
                <w:color w:val="auto"/>
                <w:lang w:val="en-US" w:eastAsia="zh-CN" w:bidi="ar"/>
              </w:rPr>
              <w:t>帧/秒</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7.2 凸阵容积探头，全视野，17cm深度时，四维成像帧频≥</w:t>
            </w:r>
            <w:r>
              <w:rPr>
                <w:rStyle w:val="29"/>
                <w:color w:val="auto"/>
                <w:lang w:val="en-US" w:eastAsia="zh-CN" w:bidi="ar"/>
              </w:rPr>
              <w:t>29</w:t>
            </w:r>
            <w:r>
              <w:rPr>
                <w:rStyle w:val="30"/>
                <w:color w:val="auto"/>
                <w:lang w:val="en-US" w:eastAsia="zh-CN" w:bidi="ar"/>
              </w:rPr>
              <w:t>帧/秒</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7.3 数字集成化智能TGC分段≥8，无实体按键</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olor w:val="auto"/>
                <w:sz w:val="21"/>
                <w:szCs w:val="21"/>
              </w:rPr>
              <w:t>▲</w:t>
            </w: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▲7.4 二维成像扫描深度≥45cm</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highlight w:val="none"/>
                <w:lang w:val="zh-CN" w:eastAsia="zh-CN" w:bidi="ar"/>
              </w:rPr>
            </w:pPr>
            <w:r>
              <w:rPr>
                <w:rFonts w:hint="eastAsia" w:ascii="宋体" w:hAnsi="宋体" w:eastAsia="宋体" w:cs="宋体"/>
                <w:i w:val="0"/>
                <w:iCs w:val="0"/>
                <w:color w:val="auto"/>
                <w:kern w:val="0"/>
                <w:sz w:val="21"/>
                <w:szCs w:val="21"/>
                <w:u w:val="none"/>
                <w:lang w:val="en-US" w:eastAsia="zh-CN" w:bidi="ar"/>
              </w:rPr>
              <w:t>7.5 回放重现：灰阶图像回放≥4000幅，四维图像回放≥400容积帧</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7.6 系统动态范围≥</w:t>
            </w:r>
            <w:r>
              <w:rPr>
                <w:rStyle w:val="29"/>
                <w:color w:val="auto"/>
                <w:lang w:val="en-US" w:eastAsia="zh-CN" w:bidi="ar"/>
              </w:rPr>
              <w:t>400dB</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7.7 预设条件：针对不同的检查脏器，</w:t>
            </w:r>
            <w:r>
              <w:rPr>
                <w:rStyle w:val="29"/>
                <w:color w:val="auto"/>
                <w:lang w:val="en-US" w:eastAsia="zh-CN" w:bidi="ar"/>
              </w:rPr>
              <w:t>可</w:t>
            </w:r>
            <w:r>
              <w:rPr>
                <w:rStyle w:val="30"/>
                <w:color w:val="auto"/>
                <w:lang w:val="en-US" w:eastAsia="zh-CN" w:bidi="ar"/>
              </w:rPr>
              <w:t>预置最佳化图像的检查条件，减少操作时的调节，及常用所需的外部调节及组合调节</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8、频谱多普勒8.1 方式：PW，CW</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8.2 多普勒发射频率可视可调，中心频率明确显示</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8.3 PWD：血流速度≥</w:t>
            </w:r>
            <w:r>
              <w:rPr>
                <w:rStyle w:val="29"/>
                <w:color w:val="auto"/>
                <w:lang w:val="en-US" w:eastAsia="zh-CN" w:bidi="ar"/>
              </w:rPr>
              <w:t>9</w:t>
            </w:r>
            <w:r>
              <w:rPr>
                <w:rStyle w:val="30"/>
                <w:color w:val="auto"/>
                <w:lang w:val="en-US" w:eastAsia="zh-CN" w:bidi="ar"/>
              </w:rPr>
              <w:t>m/s；CWD：血流速度≥</w:t>
            </w:r>
            <w:r>
              <w:rPr>
                <w:rStyle w:val="29"/>
                <w:color w:val="auto"/>
                <w:lang w:val="en-US" w:eastAsia="zh-CN" w:bidi="ar"/>
              </w:rPr>
              <w:t>20</w:t>
            </w:r>
            <w:r>
              <w:rPr>
                <w:rStyle w:val="30"/>
                <w:color w:val="auto"/>
                <w:lang w:val="en-US" w:eastAsia="zh-CN" w:bidi="ar"/>
              </w:rPr>
              <w:t>m/s</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8.4 最低测量速度：≤0.3mm/s （非噪声信号）</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8.5 零位移动：≥10级</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9、彩色多普勒9.1 显示方式：</w:t>
            </w:r>
            <w:r>
              <w:rPr>
                <w:rStyle w:val="29"/>
                <w:color w:val="auto"/>
                <w:lang w:val="en-US" w:eastAsia="zh-CN" w:bidi="ar"/>
              </w:rPr>
              <w:t>至少支持</w:t>
            </w:r>
            <w:r>
              <w:rPr>
                <w:rStyle w:val="30"/>
                <w:color w:val="auto"/>
                <w:lang w:val="en-US" w:eastAsia="zh-CN" w:bidi="ar"/>
              </w:rPr>
              <w:t>能量显示，速度显示、二维立体血流显示</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9.2 凸阵探头，全视野，17cm深度时，在最高线密度下，彩色帧频≥</w:t>
            </w:r>
            <w:r>
              <w:rPr>
                <w:rStyle w:val="29"/>
                <w:color w:val="auto"/>
                <w:lang w:val="en-US" w:eastAsia="zh-CN" w:bidi="ar"/>
              </w:rPr>
              <w:t>9</w:t>
            </w:r>
            <w:r>
              <w:rPr>
                <w:rStyle w:val="30"/>
                <w:color w:val="auto"/>
                <w:lang w:val="en-US" w:eastAsia="zh-CN" w:bidi="ar"/>
              </w:rPr>
              <w:t>帧/秒</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9.3 凸阵容积探头，全视野，17cm深度时，四维彩色成像帧频≥9帧/秒</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9.4 彩色显示速度：最低平均血流测量速度≤5mm/s（非噪声信号）</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9.5 彩色增强功能：彩色多普勒能量图，方向性能量图</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s="宋体"/>
                <w:i w:val="0"/>
                <w:iCs w:val="0"/>
                <w:color w:val="auto"/>
                <w:kern w:val="0"/>
                <w:sz w:val="20"/>
                <w:szCs w:val="20"/>
                <w:u w:val="none"/>
                <w:lang w:val="en-US" w:eastAsia="zh-CN" w:bidi="ar"/>
              </w:rPr>
              <w:t>四维彩色多普勒超声仪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10、耦合剂加热器2个</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bl>
    <w:p>
      <w:pPr>
        <w:pStyle w:val="5"/>
        <w:spacing w:before="122"/>
        <w:ind w:left="490"/>
        <w:rPr>
          <w:color w:val="auto"/>
          <w:sz w:val="20"/>
          <w:szCs w:val="20"/>
        </w:rPr>
      </w:pPr>
      <w:r>
        <w:rPr>
          <w:color w:val="auto"/>
          <w:sz w:val="20"/>
          <w:szCs w:val="20"/>
        </w:rPr>
        <w:t>说明：</w:t>
      </w:r>
    </w:p>
    <w:p>
      <w:pPr>
        <w:pStyle w:val="5"/>
        <w:snapToGrid w:val="0"/>
        <w:spacing w:line="360" w:lineRule="auto"/>
        <w:ind w:left="106" w:right="149" w:firstLine="384"/>
        <w:rPr>
          <w:color w:val="auto"/>
          <w:sz w:val="20"/>
          <w:szCs w:val="20"/>
        </w:rPr>
      </w:pPr>
      <w:r>
        <w:rPr>
          <w:rFonts w:hint="eastAsia"/>
          <w:color w:val="auto"/>
          <w:sz w:val="20"/>
          <w:szCs w:val="20"/>
          <w:lang w:val="en-US"/>
        </w:rPr>
        <w:t>1.</w:t>
      </w:r>
      <w:r>
        <w:rPr>
          <w:rFonts w:hint="eastAsia"/>
          <w:color w:val="auto"/>
          <w:sz w:val="20"/>
          <w:szCs w:val="20"/>
        </w:rPr>
        <w:t>“</w:t>
      </w:r>
      <w:r>
        <w:rPr>
          <w:color w:val="auto"/>
          <w:sz w:val="20"/>
          <w:szCs w:val="20"/>
        </w:rPr>
        <w:t>采购文件规定的技术和服务要求</w:t>
      </w:r>
      <w:r>
        <w:rPr>
          <w:rFonts w:hint="eastAsia"/>
          <w:color w:val="auto"/>
          <w:sz w:val="20"/>
          <w:szCs w:val="20"/>
        </w:rPr>
        <w:t>”</w:t>
      </w:r>
      <w:r>
        <w:rPr>
          <w:color w:val="auto"/>
          <w:sz w:val="20"/>
          <w:szCs w:val="20"/>
        </w:rPr>
        <w:t>项下填写的内容应与招标文件中采购需求的</w:t>
      </w:r>
      <w:r>
        <w:rPr>
          <w:rFonts w:hint="eastAsia"/>
          <w:color w:val="auto"/>
          <w:sz w:val="20"/>
          <w:szCs w:val="20"/>
        </w:rPr>
        <w:t>“</w:t>
      </w:r>
      <w:r>
        <w:rPr>
          <w:color w:val="auto"/>
          <w:sz w:val="20"/>
          <w:szCs w:val="20"/>
        </w:rPr>
        <w:t>技术要求</w:t>
      </w:r>
      <w:r>
        <w:rPr>
          <w:rFonts w:hint="eastAsia"/>
          <w:color w:val="auto"/>
          <w:sz w:val="20"/>
          <w:szCs w:val="20"/>
        </w:rPr>
        <w:t>”</w:t>
      </w:r>
      <w:r>
        <w:rPr>
          <w:color w:val="auto"/>
          <w:sz w:val="20"/>
          <w:szCs w:val="20"/>
        </w:rPr>
        <w:t>的内容保持一致。投标人应当如实填写上表</w:t>
      </w:r>
      <w:r>
        <w:rPr>
          <w:rFonts w:hint="eastAsia"/>
          <w:color w:val="auto"/>
          <w:sz w:val="20"/>
          <w:szCs w:val="20"/>
        </w:rPr>
        <w:t>“</w:t>
      </w:r>
      <w:r>
        <w:rPr>
          <w:color w:val="auto"/>
          <w:sz w:val="20"/>
          <w:szCs w:val="20"/>
        </w:rPr>
        <w:t>投标文件响应的具体内容</w:t>
      </w:r>
      <w:r>
        <w:rPr>
          <w:rFonts w:hint="eastAsia"/>
          <w:color w:val="auto"/>
          <w:sz w:val="20"/>
          <w:szCs w:val="20"/>
        </w:rPr>
        <w:t>”</w:t>
      </w:r>
      <w:r>
        <w:rPr>
          <w:color w:val="auto"/>
          <w:sz w:val="20"/>
          <w:szCs w:val="20"/>
        </w:rP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5"/>
        <w:snapToGrid w:val="0"/>
        <w:spacing w:line="360" w:lineRule="auto"/>
        <w:ind w:left="106" w:right="149" w:firstLine="384"/>
        <w:rPr>
          <w:color w:val="auto"/>
          <w:sz w:val="20"/>
          <w:szCs w:val="20"/>
        </w:rPr>
      </w:pPr>
      <w:r>
        <w:rPr>
          <w:rFonts w:hint="eastAsia"/>
          <w:color w:val="auto"/>
          <w:sz w:val="20"/>
          <w:szCs w:val="20"/>
        </w:rPr>
        <w:t>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5"/>
        <w:snapToGrid w:val="0"/>
        <w:spacing w:line="360" w:lineRule="auto"/>
        <w:ind w:left="106" w:right="149" w:firstLine="384"/>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lang w:val="en-US"/>
        </w:rPr>
        <w:t>.</w:t>
      </w:r>
      <w:r>
        <w:rPr>
          <w:rFonts w:hint="eastAsia" w:ascii="宋体" w:hAnsi="宋体" w:eastAsia="宋体" w:cs="宋体"/>
          <w:color w:val="auto"/>
          <w:sz w:val="20"/>
          <w:szCs w:val="20"/>
        </w:rPr>
        <w:t>“是否偏离”项下应按下列规定填写：优于的，填写“正偏离”；符合的，填写“无偏离”；低于的，填写“负偏离”</w:t>
      </w:r>
      <w:r>
        <w:rPr>
          <w:rFonts w:hint="eastAsia" w:ascii="宋体" w:hAnsi="宋体" w:eastAsia="宋体" w:cs="宋体"/>
          <w:color w:val="auto"/>
          <w:sz w:val="20"/>
          <w:szCs w:val="20"/>
          <w:lang w:eastAsia="zh-CN"/>
        </w:rPr>
        <w:t>。</w:t>
      </w:r>
    </w:p>
    <w:p>
      <w:pPr>
        <w:pStyle w:val="5"/>
        <w:snapToGrid w:val="0"/>
        <w:spacing w:line="360" w:lineRule="auto"/>
        <w:ind w:left="534" w:leftChars="220" w:right="149" w:hanging="50" w:hangingChars="25"/>
        <w:rPr>
          <w:color w:val="auto"/>
          <w:sz w:val="20"/>
          <w:szCs w:val="20"/>
          <w:lang w:val="en-US"/>
        </w:rPr>
      </w:pPr>
      <w:r>
        <w:rPr>
          <w:rFonts w:hint="eastAsia"/>
          <w:color w:val="auto"/>
          <w:sz w:val="20"/>
          <w:szCs w:val="20"/>
          <w:lang w:val="en-US" w:eastAsia="zh-CN"/>
        </w:rPr>
        <w:t>4</w:t>
      </w:r>
      <w:r>
        <w:rPr>
          <w:rFonts w:hint="eastAsia"/>
          <w:color w:val="auto"/>
          <w:sz w:val="20"/>
          <w:szCs w:val="20"/>
          <w:lang w:val="en-US"/>
        </w:rPr>
        <w:t>.“备注”处可填写偏离情况的说明。</w:t>
      </w:r>
    </w:p>
    <w:p>
      <w:pPr>
        <w:pStyle w:val="5"/>
        <w:snapToGrid w:val="0"/>
        <w:spacing w:line="360" w:lineRule="auto"/>
        <w:ind w:left="106" w:right="149" w:firstLine="384"/>
        <w:rPr>
          <w:color w:val="auto"/>
          <w:sz w:val="20"/>
          <w:szCs w:val="20"/>
          <w:lang w:val="en-US"/>
        </w:rPr>
        <w:sectPr>
          <w:type w:val="continuous"/>
          <w:pgSz w:w="11900" w:h="16840"/>
          <w:pgMar w:top="1260" w:right="520" w:bottom="200" w:left="560" w:header="720" w:footer="720" w:gutter="0"/>
          <w:cols w:space="720" w:num="1"/>
        </w:sectPr>
      </w:pPr>
    </w:p>
    <w:p>
      <w:pPr>
        <w:snapToGrid w:val="0"/>
        <w:spacing w:line="360" w:lineRule="auto"/>
        <w:ind w:left="102"/>
        <w:jc w:val="center"/>
        <w:rPr>
          <w:b/>
          <w:color w:val="auto"/>
          <w:sz w:val="20"/>
          <w:szCs w:val="20"/>
        </w:rPr>
      </w:pPr>
      <w:r>
        <w:rPr>
          <w:b/>
          <w:color w:val="auto"/>
          <w:sz w:val="20"/>
          <w:szCs w:val="20"/>
        </w:rPr>
        <w:t>《商务条件响应表》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425"/>
        <w:gridCol w:w="2670"/>
        <w:gridCol w:w="2160"/>
        <w:gridCol w:w="1290"/>
        <w:gridCol w:w="141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shd w:val="clear" w:color="auto" w:fill="F1F1F1" w:themeFill="background1" w:themeFillShade="F2"/>
            <w:vAlign w:val="center"/>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jc w:val="center"/>
              <w:textAlignment w:val="auto"/>
              <w:rPr>
                <w:rFonts w:hint="eastAsia"/>
                <w:color w:val="auto"/>
                <w:sz w:val="20"/>
                <w:szCs w:val="20"/>
                <w:vertAlign w:val="baseline"/>
                <w:lang w:val="en-US"/>
              </w:rPr>
            </w:pPr>
            <w:r>
              <w:rPr>
                <w:rFonts w:hint="eastAsia"/>
                <w:color w:val="auto"/>
                <w:sz w:val="20"/>
                <w:szCs w:val="20"/>
                <w:vertAlign w:val="baseline"/>
                <w:lang w:val="en-US"/>
              </w:rPr>
              <w:t>序号</w:t>
            </w:r>
          </w:p>
        </w:tc>
        <w:tc>
          <w:tcPr>
            <w:tcW w:w="1425" w:type="dxa"/>
            <w:shd w:val="clear" w:color="auto" w:fill="F1F1F1" w:themeFill="background1" w:themeFillShade="F2"/>
            <w:vAlign w:val="center"/>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76" w:rightChars="0"/>
              <w:jc w:val="center"/>
              <w:textAlignment w:val="auto"/>
              <w:rPr>
                <w:rFonts w:hint="eastAsia"/>
                <w:color w:val="auto"/>
                <w:sz w:val="20"/>
                <w:szCs w:val="20"/>
                <w:vertAlign w:val="baseline"/>
                <w:lang w:val="en-US"/>
              </w:rPr>
            </w:pPr>
            <w:r>
              <w:rPr>
                <w:rFonts w:hint="eastAsia"/>
                <w:color w:val="auto"/>
                <w:sz w:val="20"/>
                <w:szCs w:val="20"/>
                <w:vertAlign w:val="baseline"/>
                <w:lang w:val="en-US"/>
              </w:rPr>
              <w:t>参数性质</w:t>
            </w:r>
          </w:p>
        </w:tc>
        <w:tc>
          <w:tcPr>
            <w:tcW w:w="2670" w:type="dxa"/>
            <w:shd w:val="clear" w:color="auto" w:fill="F1F1F1" w:themeFill="background1" w:themeFillShade="F2"/>
            <w:vAlign w:val="center"/>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jc w:val="center"/>
              <w:textAlignment w:val="auto"/>
              <w:rPr>
                <w:rFonts w:hint="eastAsia"/>
                <w:color w:val="auto"/>
                <w:sz w:val="20"/>
                <w:szCs w:val="20"/>
                <w:vertAlign w:val="baseline"/>
                <w:lang w:val="en-US"/>
              </w:rPr>
            </w:pPr>
            <w:r>
              <w:rPr>
                <w:rFonts w:hint="eastAsia"/>
                <w:color w:val="auto"/>
                <w:sz w:val="20"/>
                <w:szCs w:val="20"/>
                <w:vertAlign w:val="baseline"/>
                <w:lang w:val="en-US"/>
              </w:rPr>
              <w:t>采购文件规定的商务条件</w:t>
            </w:r>
          </w:p>
        </w:tc>
        <w:tc>
          <w:tcPr>
            <w:tcW w:w="2160" w:type="dxa"/>
            <w:shd w:val="clear" w:color="auto" w:fill="F1F1F1" w:themeFill="background1" w:themeFillShade="F2"/>
            <w:vAlign w:val="center"/>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jc w:val="center"/>
              <w:textAlignment w:val="auto"/>
              <w:rPr>
                <w:rFonts w:hint="eastAsia"/>
                <w:color w:val="auto"/>
                <w:sz w:val="20"/>
                <w:szCs w:val="20"/>
                <w:vertAlign w:val="baseline"/>
                <w:lang w:val="en-US"/>
              </w:rPr>
            </w:pPr>
            <w:r>
              <w:rPr>
                <w:rFonts w:hint="eastAsia"/>
                <w:color w:val="auto"/>
                <w:sz w:val="20"/>
                <w:szCs w:val="20"/>
                <w:vertAlign w:val="baseline"/>
                <w:lang w:val="en-US"/>
              </w:rPr>
              <w:t>投标文件响应的具体内容</w:t>
            </w:r>
          </w:p>
        </w:tc>
        <w:tc>
          <w:tcPr>
            <w:tcW w:w="1290" w:type="dxa"/>
            <w:shd w:val="clear" w:color="auto" w:fill="F1F1F1" w:themeFill="background1" w:themeFillShade="F2"/>
            <w:vAlign w:val="center"/>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jc w:val="center"/>
              <w:textAlignment w:val="auto"/>
              <w:rPr>
                <w:rFonts w:hint="eastAsia"/>
                <w:color w:val="auto"/>
                <w:sz w:val="20"/>
                <w:szCs w:val="20"/>
                <w:vertAlign w:val="baseline"/>
                <w:lang w:val="en-US"/>
              </w:rPr>
            </w:pPr>
            <w:r>
              <w:rPr>
                <w:rFonts w:hint="eastAsia"/>
                <w:color w:val="auto"/>
                <w:sz w:val="20"/>
                <w:szCs w:val="20"/>
                <w:vertAlign w:val="baseline"/>
                <w:lang w:val="en-US"/>
              </w:rPr>
              <w:t>是否偏离</w:t>
            </w:r>
          </w:p>
        </w:tc>
        <w:tc>
          <w:tcPr>
            <w:tcW w:w="1410" w:type="dxa"/>
            <w:shd w:val="clear" w:color="auto" w:fill="F1F1F1" w:themeFill="background1" w:themeFillShade="F2"/>
            <w:vAlign w:val="center"/>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jc w:val="center"/>
              <w:textAlignment w:val="auto"/>
              <w:rPr>
                <w:rFonts w:hint="eastAsia"/>
                <w:color w:val="auto"/>
                <w:sz w:val="20"/>
                <w:szCs w:val="20"/>
                <w:vertAlign w:val="baseline"/>
                <w:lang w:val="en-US"/>
              </w:rPr>
            </w:pPr>
            <w:r>
              <w:rPr>
                <w:rFonts w:hint="eastAsia"/>
                <w:color w:val="auto"/>
                <w:sz w:val="20"/>
                <w:szCs w:val="20"/>
                <w:vertAlign w:val="baseline"/>
                <w:lang w:val="en-US"/>
              </w:rPr>
              <w:t>证明文件所在位置</w:t>
            </w:r>
          </w:p>
        </w:tc>
        <w:tc>
          <w:tcPr>
            <w:tcW w:w="1330" w:type="dxa"/>
            <w:shd w:val="clear" w:color="auto" w:fill="F1F1F1" w:themeFill="background1" w:themeFillShade="F2"/>
            <w:vAlign w:val="center"/>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jc w:val="center"/>
              <w:textAlignment w:val="auto"/>
              <w:rPr>
                <w:rFonts w:hint="eastAsia"/>
                <w:color w:val="auto"/>
                <w:sz w:val="20"/>
                <w:szCs w:val="20"/>
                <w:vertAlign w:val="baseline"/>
                <w:lang w:val="en-US"/>
              </w:rPr>
            </w:pPr>
            <w:r>
              <w:rPr>
                <w:rFonts w:hint="eastAsia"/>
                <w:color w:val="auto"/>
                <w:sz w:val="20"/>
                <w:szCs w:val="20"/>
                <w:vertAlign w:val="baseline"/>
                <w:lang w:val="en-US"/>
              </w:rPr>
              <w:t>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pStyle w:val="5"/>
              <w:keepNext w:val="0"/>
              <w:keepLines w:val="0"/>
              <w:pageBreakBefore w:val="0"/>
              <w:widowControl w:val="0"/>
              <w:numPr>
                <w:ilvl w:val="0"/>
                <w:numId w:val="2"/>
              </w:numPr>
              <w:kinsoku/>
              <w:wordWrap/>
              <w:overflowPunct/>
              <w:topLinePunct w:val="0"/>
              <w:autoSpaceDE w:val="0"/>
              <w:autoSpaceDN w:val="0"/>
              <w:bidi w:val="0"/>
              <w:adjustRightInd/>
              <w:snapToGrid w:val="0"/>
              <w:spacing w:line="240" w:lineRule="auto"/>
              <w:ind w:left="425" w:leftChars="0" w:right="149" w:hanging="425" w:firstLineChars="0"/>
              <w:textAlignment w:val="auto"/>
              <w:rPr>
                <w:rFonts w:hint="eastAsia"/>
                <w:color w:val="auto"/>
                <w:sz w:val="20"/>
                <w:szCs w:val="20"/>
                <w:vertAlign w:val="baseline"/>
                <w:lang w:val="en-US"/>
              </w:rPr>
            </w:pPr>
          </w:p>
        </w:tc>
        <w:tc>
          <w:tcPr>
            <w:tcW w:w="1425"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267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（一）报价要求</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1、本项目的报价和结算支付均以人民币为货币单位。</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2、本项目的最高限价为人民币4800000.00元，投标人的投标报价不得高于最高限价，否则作为无效投标处理。</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3、投标人报价应包含但不限于产品供货、备件备品费、相关附件、专用工具费、材料费、运输费、装卸费、安装费、调试费、验收费、保险费、售后服务费、税费、人工费、技术培训服务费、验收要求所需的相关试验及检测费用、质量保证期内的包修包换的费用、合同实施过程中应预见及不可预见费等完成本项目内容所需的一切费用。</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216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29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41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33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pStyle w:val="5"/>
              <w:keepNext w:val="0"/>
              <w:keepLines w:val="0"/>
              <w:pageBreakBefore w:val="0"/>
              <w:widowControl w:val="0"/>
              <w:numPr>
                <w:ilvl w:val="0"/>
                <w:numId w:val="2"/>
              </w:numPr>
              <w:kinsoku/>
              <w:wordWrap/>
              <w:overflowPunct/>
              <w:topLinePunct w:val="0"/>
              <w:autoSpaceDE w:val="0"/>
              <w:autoSpaceDN w:val="0"/>
              <w:bidi w:val="0"/>
              <w:adjustRightInd/>
              <w:snapToGrid w:val="0"/>
              <w:spacing w:line="240" w:lineRule="auto"/>
              <w:ind w:left="425" w:leftChars="0" w:right="149" w:hanging="425" w:firstLineChars="0"/>
              <w:textAlignment w:val="auto"/>
              <w:rPr>
                <w:rFonts w:hint="eastAsia"/>
                <w:color w:val="auto"/>
                <w:sz w:val="20"/>
                <w:szCs w:val="20"/>
                <w:vertAlign w:val="baseline"/>
                <w:lang w:val="en-US"/>
              </w:rPr>
            </w:pPr>
          </w:p>
        </w:tc>
        <w:tc>
          <w:tcPr>
            <w:tcW w:w="1425"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267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（二）质保期及售后服务要求</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1、免费保修期限（质保期）为2年，质保期内中标人对所供货物实行包修、包换、包退、包维护保养。</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2、质保期内，如设备或零部件因非人为因素出现故障而造成短期停用时，则质保期和免费维修期相应顺延。如停用时间累计超过60天则质保期重新计算。</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3、对采购人的服务通知，中标人在接报后1小时内响应，4小时内到达现场，48小时内处理完毕。若在48小时内仍未能有效解决，中标人须免费提供相同型号的备用机予采购人临时使用。</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4、质保期内免费提供现场技术培训、技术咨询、维修和软件升级等服务，保证使用人员正常操作设备的各种功能。</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5、质保期内每季度对设备免费提供定期保养维护，出具保养维护记录，保养维护内容包括但不限于：机器清洁，性能测试及校准，必要的机械或电气检查，以及非紧急性质的补救性维修。</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6、涉及计量检测设备的，需提供采购人所在地法定专业检定部门出具的检定证书，检定费用由中标人负责。</w:t>
            </w:r>
          </w:p>
        </w:tc>
        <w:tc>
          <w:tcPr>
            <w:tcW w:w="216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29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41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33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pStyle w:val="5"/>
              <w:keepNext w:val="0"/>
              <w:keepLines w:val="0"/>
              <w:pageBreakBefore w:val="0"/>
              <w:widowControl w:val="0"/>
              <w:numPr>
                <w:ilvl w:val="0"/>
                <w:numId w:val="2"/>
              </w:numPr>
              <w:kinsoku/>
              <w:wordWrap/>
              <w:overflowPunct/>
              <w:topLinePunct w:val="0"/>
              <w:autoSpaceDE w:val="0"/>
              <w:autoSpaceDN w:val="0"/>
              <w:bidi w:val="0"/>
              <w:adjustRightInd/>
              <w:snapToGrid w:val="0"/>
              <w:spacing w:line="240" w:lineRule="auto"/>
              <w:ind w:left="425" w:leftChars="0" w:right="149" w:hanging="425" w:firstLineChars="0"/>
              <w:textAlignment w:val="auto"/>
              <w:rPr>
                <w:rFonts w:hint="eastAsia"/>
                <w:color w:val="auto"/>
                <w:sz w:val="20"/>
                <w:szCs w:val="20"/>
                <w:vertAlign w:val="baseline"/>
                <w:lang w:val="en-US"/>
              </w:rPr>
            </w:pPr>
          </w:p>
        </w:tc>
        <w:tc>
          <w:tcPr>
            <w:tcW w:w="1425"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267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（三）包装、保险及发运、保管要求</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1、设备材料的包装必须是制造商原厂包装，其包装均应有良好的防湿、防锈、防潮、防雨、防腐及防碰撞的措施。凡由于包装不良造成的损失和由此产生的费用均由投标人承担。</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2、中标人负责将设备材料货到现场过程中的全部运输，包括装卸车、货物现场的搬运。</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3、各种设备必须提供装箱清单，按装箱清单验收货物。</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4、货物在现场的保管由中标人负责，直至项目安装、验收完毕。</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5、货物在系统安装调试验收合格前的保险由中标人负责，中标人负责其派出的现场服务人员人身意外保险。</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6、设备至采购人指定的使用现场的包装、保险及发运等环节和费用均由中标人负责。</w:t>
            </w:r>
          </w:p>
        </w:tc>
        <w:tc>
          <w:tcPr>
            <w:tcW w:w="216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29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41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33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pStyle w:val="5"/>
              <w:keepNext w:val="0"/>
              <w:keepLines w:val="0"/>
              <w:pageBreakBefore w:val="0"/>
              <w:widowControl w:val="0"/>
              <w:numPr>
                <w:ilvl w:val="0"/>
                <w:numId w:val="2"/>
              </w:numPr>
              <w:kinsoku/>
              <w:wordWrap/>
              <w:overflowPunct/>
              <w:topLinePunct w:val="0"/>
              <w:autoSpaceDE w:val="0"/>
              <w:autoSpaceDN w:val="0"/>
              <w:bidi w:val="0"/>
              <w:adjustRightInd/>
              <w:snapToGrid w:val="0"/>
              <w:spacing w:line="240" w:lineRule="auto"/>
              <w:ind w:left="425" w:leftChars="0" w:right="149" w:hanging="425" w:firstLineChars="0"/>
              <w:textAlignment w:val="auto"/>
              <w:rPr>
                <w:rFonts w:hint="eastAsia"/>
                <w:color w:val="auto"/>
                <w:sz w:val="20"/>
                <w:szCs w:val="20"/>
                <w:vertAlign w:val="baseline"/>
                <w:lang w:val="en-US"/>
              </w:rPr>
            </w:pPr>
          </w:p>
        </w:tc>
        <w:tc>
          <w:tcPr>
            <w:tcW w:w="1425"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267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（四）安装、调试</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中标人必须依照招标文件的要求和投标文件的承诺，将设备（系统）安装并调试至正常运行的最佳状态且双方均认为满意。</w:t>
            </w:r>
          </w:p>
        </w:tc>
        <w:tc>
          <w:tcPr>
            <w:tcW w:w="216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29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41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33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pStyle w:val="5"/>
              <w:keepNext w:val="0"/>
              <w:keepLines w:val="0"/>
              <w:pageBreakBefore w:val="0"/>
              <w:widowControl w:val="0"/>
              <w:numPr>
                <w:ilvl w:val="0"/>
                <w:numId w:val="2"/>
              </w:numPr>
              <w:kinsoku/>
              <w:wordWrap/>
              <w:overflowPunct/>
              <w:topLinePunct w:val="0"/>
              <w:autoSpaceDE w:val="0"/>
              <w:autoSpaceDN w:val="0"/>
              <w:bidi w:val="0"/>
              <w:adjustRightInd/>
              <w:snapToGrid w:val="0"/>
              <w:spacing w:line="240" w:lineRule="auto"/>
              <w:ind w:left="425" w:leftChars="0" w:right="149" w:hanging="425" w:firstLineChars="0"/>
              <w:textAlignment w:val="auto"/>
              <w:rPr>
                <w:rFonts w:hint="eastAsia"/>
                <w:color w:val="auto"/>
                <w:sz w:val="20"/>
                <w:szCs w:val="20"/>
                <w:vertAlign w:val="baseline"/>
                <w:lang w:val="en-US"/>
              </w:rPr>
            </w:pPr>
          </w:p>
        </w:tc>
        <w:tc>
          <w:tcPr>
            <w:tcW w:w="1425"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267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（五）知识产权和保密要求</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中标人保证合同项下提供的设备不侵犯任何第三方的专利、商标或版权等知识产权。否则，中标人须承担对第三方的专利或第三方的专利或版权等知识产权的侵权责任并承担由此而发生的所有费用。</w:t>
            </w:r>
          </w:p>
        </w:tc>
        <w:tc>
          <w:tcPr>
            <w:tcW w:w="216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29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41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33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pStyle w:val="5"/>
              <w:keepNext w:val="0"/>
              <w:keepLines w:val="0"/>
              <w:pageBreakBefore w:val="0"/>
              <w:widowControl w:val="0"/>
              <w:numPr>
                <w:ilvl w:val="0"/>
                <w:numId w:val="2"/>
              </w:numPr>
              <w:kinsoku/>
              <w:wordWrap/>
              <w:overflowPunct/>
              <w:topLinePunct w:val="0"/>
              <w:autoSpaceDE w:val="0"/>
              <w:autoSpaceDN w:val="0"/>
              <w:bidi w:val="0"/>
              <w:adjustRightInd/>
              <w:snapToGrid w:val="0"/>
              <w:spacing w:line="240" w:lineRule="auto"/>
              <w:ind w:left="425" w:leftChars="0" w:right="149" w:hanging="425" w:firstLineChars="0"/>
              <w:textAlignment w:val="auto"/>
              <w:rPr>
                <w:rFonts w:hint="eastAsia"/>
                <w:color w:val="auto"/>
                <w:sz w:val="20"/>
                <w:szCs w:val="20"/>
                <w:vertAlign w:val="baseline"/>
                <w:lang w:val="en-US"/>
              </w:rPr>
            </w:pPr>
          </w:p>
        </w:tc>
        <w:tc>
          <w:tcPr>
            <w:tcW w:w="1425"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267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eastAsia="zh-CN"/>
              </w:rPr>
            </w:pPr>
            <w:r>
              <w:rPr>
                <w:rFonts w:hint="eastAsia"/>
                <w:color w:val="auto"/>
                <w:sz w:val="20"/>
                <w:szCs w:val="20"/>
                <w:vertAlign w:val="baseline"/>
                <w:lang w:val="en-US"/>
              </w:rPr>
              <w:t>标的提供的时间</w:t>
            </w:r>
            <w:r>
              <w:rPr>
                <w:rFonts w:hint="eastAsia"/>
                <w:color w:val="auto"/>
                <w:sz w:val="20"/>
                <w:szCs w:val="20"/>
                <w:vertAlign w:val="baseline"/>
                <w:lang w:val="en-US" w:eastAsia="zh-CN"/>
              </w:rPr>
              <w:t>：</w:t>
            </w:r>
            <w:r>
              <w:rPr>
                <w:rFonts w:hint="eastAsia"/>
                <w:color w:val="auto"/>
                <w:sz w:val="20"/>
                <w:szCs w:val="20"/>
                <w:vertAlign w:val="baseline"/>
                <w:lang w:val="en-US"/>
              </w:rPr>
              <w:t>合同签订生效后60天内完成交货、安装调试。</w:t>
            </w:r>
          </w:p>
        </w:tc>
        <w:tc>
          <w:tcPr>
            <w:tcW w:w="216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29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41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33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pStyle w:val="5"/>
              <w:keepNext w:val="0"/>
              <w:keepLines w:val="0"/>
              <w:pageBreakBefore w:val="0"/>
              <w:widowControl w:val="0"/>
              <w:numPr>
                <w:ilvl w:val="0"/>
                <w:numId w:val="2"/>
              </w:numPr>
              <w:kinsoku/>
              <w:wordWrap/>
              <w:overflowPunct/>
              <w:topLinePunct w:val="0"/>
              <w:autoSpaceDE w:val="0"/>
              <w:autoSpaceDN w:val="0"/>
              <w:bidi w:val="0"/>
              <w:adjustRightInd/>
              <w:snapToGrid w:val="0"/>
              <w:spacing w:line="240" w:lineRule="auto"/>
              <w:ind w:left="425" w:leftChars="0" w:right="149" w:hanging="425" w:firstLineChars="0"/>
              <w:textAlignment w:val="auto"/>
              <w:rPr>
                <w:rFonts w:hint="eastAsia"/>
                <w:color w:val="auto"/>
                <w:sz w:val="20"/>
                <w:szCs w:val="20"/>
                <w:vertAlign w:val="baseline"/>
                <w:lang w:val="en-US"/>
              </w:rPr>
            </w:pPr>
          </w:p>
        </w:tc>
        <w:tc>
          <w:tcPr>
            <w:tcW w:w="1425"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267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eastAsia="宋体"/>
                <w:color w:val="auto"/>
                <w:sz w:val="20"/>
                <w:szCs w:val="20"/>
                <w:vertAlign w:val="baseline"/>
                <w:lang w:val="en-US" w:eastAsia="zh-CN"/>
              </w:rPr>
            </w:pPr>
            <w:r>
              <w:rPr>
                <w:rFonts w:hint="eastAsia"/>
                <w:color w:val="auto"/>
                <w:sz w:val="20"/>
                <w:szCs w:val="20"/>
                <w:vertAlign w:val="baseline"/>
                <w:lang w:val="en-US"/>
              </w:rPr>
              <w:t>标的提供的地点</w:t>
            </w:r>
            <w:r>
              <w:rPr>
                <w:rFonts w:hint="eastAsia"/>
                <w:color w:val="auto"/>
                <w:sz w:val="20"/>
                <w:szCs w:val="20"/>
                <w:vertAlign w:val="baseline"/>
                <w:lang w:val="en-US" w:eastAsia="zh-CN"/>
              </w:rPr>
              <w:t>：采购人指定地点。</w:t>
            </w:r>
          </w:p>
        </w:tc>
        <w:tc>
          <w:tcPr>
            <w:tcW w:w="216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29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41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33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pStyle w:val="5"/>
              <w:keepNext w:val="0"/>
              <w:keepLines w:val="0"/>
              <w:pageBreakBefore w:val="0"/>
              <w:widowControl w:val="0"/>
              <w:numPr>
                <w:ilvl w:val="0"/>
                <w:numId w:val="2"/>
              </w:numPr>
              <w:kinsoku/>
              <w:wordWrap/>
              <w:overflowPunct/>
              <w:topLinePunct w:val="0"/>
              <w:autoSpaceDE w:val="0"/>
              <w:autoSpaceDN w:val="0"/>
              <w:bidi w:val="0"/>
              <w:adjustRightInd/>
              <w:snapToGrid w:val="0"/>
              <w:spacing w:line="240" w:lineRule="auto"/>
              <w:ind w:left="425" w:leftChars="0" w:right="149" w:hanging="425" w:firstLineChars="0"/>
              <w:textAlignment w:val="auto"/>
              <w:rPr>
                <w:rFonts w:hint="eastAsia"/>
                <w:color w:val="auto"/>
                <w:sz w:val="20"/>
                <w:szCs w:val="20"/>
                <w:vertAlign w:val="baseline"/>
                <w:lang w:val="en-US"/>
              </w:rPr>
            </w:pPr>
          </w:p>
        </w:tc>
        <w:tc>
          <w:tcPr>
            <w:tcW w:w="1425"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267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eastAsia="宋体"/>
                <w:color w:val="auto"/>
                <w:sz w:val="20"/>
                <w:szCs w:val="20"/>
                <w:vertAlign w:val="baseline"/>
                <w:lang w:val="en-US" w:eastAsia="zh-CN"/>
              </w:rPr>
            </w:pPr>
            <w:r>
              <w:rPr>
                <w:rFonts w:hint="eastAsia"/>
                <w:color w:val="auto"/>
                <w:sz w:val="20"/>
                <w:szCs w:val="20"/>
                <w:vertAlign w:val="baseline"/>
                <w:lang w:val="en-US"/>
              </w:rPr>
              <w:t>付款方式</w:t>
            </w:r>
            <w:r>
              <w:rPr>
                <w:rFonts w:hint="eastAsia"/>
                <w:color w:val="auto"/>
                <w:sz w:val="20"/>
                <w:szCs w:val="20"/>
                <w:vertAlign w:val="baseline"/>
                <w:lang w:val="en-US" w:eastAsia="zh-CN"/>
              </w:rPr>
              <w:t>：1期：支付比例50%，签订合同后支付合同总价的50%。 2期：支付比例48%，设备安装调试结束，提交全部报告材料，调试完成并验收合格后30天内， 支付至合同总价的98%。 3期：支付比例2%，从验收合格之日起，正常使用12个月后30天内，支付合同总价的2%。注： 中标人凭以下有效文件与采购人结算：（1）合同；（2）中标人开具的正式发票；（3）验收调试 报告（加盖采购人公章）；（4）中标通知书。</w:t>
            </w:r>
          </w:p>
        </w:tc>
        <w:tc>
          <w:tcPr>
            <w:tcW w:w="216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29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41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33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pStyle w:val="5"/>
              <w:keepNext w:val="0"/>
              <w:keepLines w:val="0"/>
              <w:pageBreakBefore w:val="0"/>
              <w:widowControl w:val="0"/>
              <w:numPr>
                <w:ilvl w:val="0"/>
                <w:numId w:val="2"/>
              </w:numPr>
              <w:kinsoku/>
              <w:wordWrap/>
              <w:overflowPunct/>
              <w:topLinePunct w:val="0"/>
              <w:autoSpaceDE w:val="0"/>
              <w:autoSpaceDN w:val="0"/>
              <w:bidi w:val="0"/>
              <w:adjustRightInd/>
              <w:snapToGrid w:val="0"/>
              <w:spacing w:line="240" w:lineRule="auto"/>
              <w:ind w:left="425" w:leftChars="0" w:right="149" w:hanging="425" w:firstLineChars="0"/>
              <w:textAlignment w:val="auto"/>
              <w:rPr>
                <w:rFonts w:hint="eastAsia"/>
                <w:color w:val="auto"/>
                <w:sz w:val="20"/>
                <w:szCs w:val="20"/>
                <w:vertAlign w:val="baseline"/>
                <w:lang w:val="en-US"/>
              </w:rPr>
            </w:pPr>
          </w:p>
        </w:tc>
        <w:tc>
          <w:tcPr>
            <w:tcW w:w="1425"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267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eastAsia="宋体"/>
                <w:color w:val="auto"/>
                <w:sz w:val="20"/>
                <w:szCs w:val="20"/>
                <w:vertAlign w:val="baseline"/>
                <w:lang w:val="en-US" w:eastAsia="zh-CN"/>
              </w:rPr>
            </w:pPr>
            <w:r>
              <w:rPr>
                <w:rFonts w:hint="eastAsia"/>
                <w:color w:val="auto"/>
                <w:sz w:val="20"/>
                <w:szCs w:val="20"/>
                <w:vertAlign w:val="baseline"/>
                <w:lang w:val="en-US"/>
              </w:rPr>
              <w:t>验收要求</w:t>
            </w:r>
            <w:r>
              <w:rPr>
                <w:rFonts w:hint="eastAsia"/>
                <w:color w:val="auto"/>
                <w:sz w:val="20"/>
                <w:szCs w:val="20"/>
                <w:vertAlign w:val="baseline"/>
                <w:lang w:val="en-US" w:eastAsia="zh-CN"/>
              </w:rPr>
              <w:t>：1期：1、货物若有国家标准按照国家标准验收，若无国家标准按行业标准验收，为原制造商制造 的全新产品，整机无污染，无侵权行为、表面无划损、无任何缺陷隐患，在中国境内可依常规安 全合法使用。 2、货物为原厂商未启封全新包装，具出厂合格证，序列号、包装箱号与出厂批号一 致，并可追索查阅。所有随设备的附件必须齐全。 3、中标人应将关键主机设备的用户手册、保修 手册、有关单证资料及配备件、随机工具等交付给采购人，使用操作及安全须知等重要资料应附 有中文说明。 4、采购人组成验收小组按国家有关规定、规范进行验收，必要时邀请相关的专业人 员或机构参与验收。因货物质量问题发生争议时，由本地质量技术监督部门鉴定。货物符合质量 技术标准的，鉴定费由采购人承担；否则鉴定费由中标人承担。</w:t>
            </w:r>
          </w:p>
        </w:tc>
        <w:tc>
          <w:tcPr>
            <w:tcW w:w="216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29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41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33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r>
    </w:tbl>
    <w:p>
      <w:pPr>
        <w:pStyle w:val="5"/>
        <w:snapToGrid w:val="0"/>
        <w:spacing w:line="360" w:lineRule="auto"/>
        <w:ind w:left="106" w:right="149" w:firstLine="384"/>
        <w:rPr>
          <w:color w:val="auto"/>
          <w:sz w:val="20"/>
          <w:szCs w:val="20"/>
          <w:lang w:val="en-US"/>
        </w:rPr>
      </w:pPr>
      <w:r>
        <w:rPr>
          <w:rFonts w:hint="eastAsia"/>
          <w:color w:val="auto"/>
          <w:sz w:val="20"/>
          <w:szCs w:val="20"/>
          <w:lang w:val="en-US"/>
        </w:rPr>
        <w:t>说明：</w:t>
      </w:r>
    </w:p>
    <w:p>
      <w:pPr>
        <w:pStyle w:val="5"/>
        <w:snapToGrid w:val="0"/>
        <w:spacing w:line="360" w:lineRule="auto"/>
        <w:ind w:left="106" w:right="149" w:firstLine="384"/>
        <w:rPr>
          <w:rFonts w:hint="eastAsia" w:ascii="宋体" w:hAnsi="宋体" w:eastAsia="宋体" w:cs="宋体"/>
          <w:color w:val="auto"/>
          <w:sz w:val="20"/>
          <w:szCs w:val="20"/>
          <w:lang w:val="en-US"/>
        </w:rPr>
      </w:pPr>
      <w:r>
        <w:rPr>
          <w:rFonts w:hint="eastAsia" w:ascii="宋体" w:hAnsi="宋体" w:eastAsia="宋体" w:cs="宋体"/>
          <w:color w:val="auto"/>
          <w:sz w:val="20"/>
          <w:szCs w:val="20"/>
          <w:lang w:val="en-US"/>
        </w:rPr>
        <w:t>1.“采购文件规定的商务条件”项下填写的内容应与招标文件中采购需求的“商务要求”的内容保持一致。</w:t>
      </w:r>
    </w:p>
    <w:p>
      <w:pPr>
        <w:pStyle w:val="5"/>
        <w:snapToGrid w:val="0"/>
        <w:spacing w:line="360" w:lineRule="auto"/>
        <w:ind w:left="106" w:right="149" w:firstLine="384"/>
        <w:rPr>
          <w:rFonts w:hint="eastAsia" w:ascii="宋体" w:hAnsi="宋体" w:eastAsia="宋体" w:cs="宋体"/>
          <w:color w:val="auto"/>
          <w:sz w:val="20"/>
          <w:szCs w:val="20"/>
          <w:lang w:val="en-US"/>
        </w:rPr>
      </w:pPr>
      <w:r>
        <w:rPr>
          <w:rFonts w:hint="eastAsia" w:ascii="宋体" w:hAnsi="宋体" w:eastAsia="宋体" w:cs="宋体"/>
          <w:color w:val="auto"/>
          <w:sz w:val="20"/>
          <w:szCs w:val="20"/>
          <w:lang w:val="en-US"/>
        </w:rPr>
        <w:t>2.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5"/>
        <w:snapToGrid w:val="0"/>
        <w:spacing w:line="360" w:lineRule="auto"/>
        <w:ind w:left="106" w:right="149" w:firstLine="384"/>
        <w:rPr>
          <w:rFonts w:hint="eastAsia" w:ascii="宋体" w:hAnsi="宋体" w:eastAsia="宋体" w:cs="宋体"/>
          <w:color w:val="auto"/>
          <w:sz w:val="20"/>
          <w:szCs w:val="20"/>
          <w:lang w:val="en-US"/>
        </w:rPr>
      </w:pPr>
      <w:r>
        <w:rPr>
          <w:rFonts w:hint="eastAsia" w:ascii="宋体" w:hAnsi="宋体" w:eastAsia="宋体" w:cs="宋体"/>
          <w:color w:val="auto"/>
          <w:sz w:val="20"/>
          <w:szCs w:val="20"/>
          <w:lang w:val="en-US"/>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5"/>
        <w:snapToGrid w:val="0"/>
        <w:spacing w:line="360" w:lineRule="auto"/>
        <w:ind w:left="106" w:right="149" w:firstLine="384"/>
        <w:rPr>
          <w:rFonts w:hint="eastAsia" w:ascii="宋体" w:hAnsi="宋体" w:eastAsia="宋体" w:cs="宋体"/>
          <w:color w:val="auto"/>
          <w:sz w:val="20"/>
          <w:szCs w:val="20"/>
          <w:lang w:val="en-US"/>
        </w:rPr>
      </w:pP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lang w:val="en-US"/>
        </w:rPr>
        <w:t>.“是否偏离”项下应按下列规定填写：优于的，填写“正偏离”；符合的，填写“无偏离”；低于的，填写“负偏离”。</w:t>
      </w:r>
    </w:p>
    <w:p>
      <w:pPr>
        <w:pStyle w:val="5"/>
        <w:snapToGrid w:val="0"/>
        <w:spacing w:line="360" w:lineRule="auto"/>
        <w:ind w:left="106" w:right="149" w:firstLine="384"/>
        <w:rPr>
          <w:rFonts w:hint="eastAsia" w:ascii="宋体" w:hAnsi="宋体" w:eastAsia="宋体" w:cs="宋体"/>
          <w:color w:val="auto"/>
          <w:sz w:val="20"/>
          <w:szCs w:val="20"/>
          <w:lang w:val="en-US"/>
        </w:rPr>
      </w:pP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lang w:val="en-US"/>
        </w:rPr>
        <w:t>.“备注”处可填写偏离情况的说明。</w:t>
      </w:r>
    </w:p>
    <w:p>
      <w:pPr>
        <w:pStyle w:val="5"/>
        <w:tabs>
          <w:tab w:val="left" w:pos="287"/>
          <w:tab w:val="left" w:pos="768"/>
          <w:tab w:val="left" w:pos="1248"/>
        </w:tabs>
        <w:snapToGrid w:val="0"/>
        <w:spacing w:line="280" w:lineRule="exact"/>
        <w:ind w:right="339"/>
        <w:jc w:val="right"/>
        <w:rPr>
          <w:color w:val="auto"/>
        </w:rPr>
      </w:pPr>
    </w:p>
    <w:sectPr>
      <w:footerReference r:id="rId4" w:type="default"/>
      <w:pgSz w:w="11900" w:h="16840"/>
      <w:pgMar w:top="500" w:right="520" w:bottom="280" w:left="560" w:header="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w:pict>
        <v:shape id="_x0000_s1058" o:spid="_x0000_s105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w:pict>
        <v:shape id="_x0000_s1059" o:spid="_x0000_s105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7"/>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E1902"/>
    <w:multiLevelType w:val="singleLevel"/>
    <w:tmpl w:val="A79E1902"/>
    <w:lvl w:ilvl="0" w:tentative="0">
      <w:start w:val="1"/>
      <w:numFmt w:val="decimal"/>
      <w:lvlText w:val="%1."/>
      <w:lvlJc w:val="left"/>
      <w:pPr>
        <w:ind w:left="425" w:hanging="425"/>
      </w:pPr>
      <w:rPr>
        <w:rFonts w:hint="default"/>
      </w:rPr>
    </w:lvl>
  </w:abstractNum>
  <w:abstractNum w:abstractNumId="1">
    <w:nsid w:val="ECC14532"/>
    <w:multiLevelType w:val="singleLevel"/>
    <w:tmpl w:val="ECC14532"/>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mViNDViN2U5NTUxNTFlZWY5MmM1ZDUwYWI0MGUwMWUifQ=="/>
  </w:docVars>
  <w:rsids>
    <w:rsidRoot w:val="003C7FA9"/>
    <w:rsid w:val="000B1731"/>
    <w:rsid w:val="001430EA"/>
    <w:rsid w:val="001A19D9"/>
    <w:rsid w:val="001E3AF0"/>
    <w:rsid w:val="003C7FA9"/>
    <w:rsid w:val="004512B5"/>
    <w:rsid w:val="00457434"/>
    <w:rsid w:val="00534F2C"/>
    <w:rsid w:val="00593D2C"/>
    <w:rsid w:val="00663044"/>
    <w:rsid w:val="00707566"/>
    <w:rsid w:val="00B719D3"/>
    <w:rsid w:val="00BA2A33"/>
    <w:rsid w:val="00BB29A7"/>
    <w:rsid w:val="00E81FAA"/>
    <w:rsid w:val="00F371DA"/>
    <w:rsid w:val="07961ECC"/>
    <w:rsid w:val="088848C7"/>
    <w:rsid w:val="3FE8461C"/>
    <w:rsid w:val="4220715D"/>
    <w:rsid w:val="43FC2D40"/>
    <w:rsid w:val="52A261DC"/>
    <w:rsid w:val="5D0D63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qFormat/>
    <w:uiPriority w:val="0"/>
    <w:pPr>
      <w:adjustRightInd w:val="0"/>
      <w:spacing w:line="420" w:lineRule="atLeast"/>
      <w:jc w:val="left"/>
    </w:pPr>
    <w:rPr>
      <w:kern w:val="0"/>
      <w:szCs w:val="20"/>
    </w:rPr>
  </w:style>
  <w:style w:type="paragraph" w:customStyle="1" w:styleId="3">
    <w:name w:val="正文_1"/>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annotation text"/>
    <w:basedOn w:val="1"/>
    <w:link w:val="22"/>
    <w:semiHidden/>
    <w:unhideWhenUsed/>
    <w:qFormat/>
    <w:uiPriority w:val="99"/>
  </w:style>
  <w:style w:type="paragraph" w:styleId="5">
    <w:name w:val="Body Text"/>
    <w:basedOn w:val="1"/>
    <w:qFormat/>
    <w:uiPriority w:val="1"/>
    <w:rPr>
      <w:sz w:val="19"/>
      <w:szCs w:val="19"/>
    </w:rPr>
  </w:style>
  <w:style w:type="paragraph" w:styleId="6">
    <w:name w:val="Balloon Text"/>
    <w:basedOn w:val="1"/>
    <w:link w:val="24"/>
    <w:semiHidden/>
    <w:unhideWhenUsed/>
    <w:qFormat/>
    <w:uiPriority w:val="99"/>
    <w:rPr>
      <w:sz w:val="18"/>
      <w:szCs w:val="18"/>
    </w:rPr>
  </w:style>
  <w:style w:type="paragraph" w:styleId="7">
    <w:name w:val="footer"/>
    <w:basedOn w:val="1"/>
    <w:link w:val="26"/>
    <w:semiHidden/>
    <w:unhideWhenUsed/>
    <w:qFormat/>
    <w:uiPriority w:val="99"/>
    <w:pPr>
      <w:tabs>
        <w:tab w:val="center" w:pos="4153"/>
        <w:tab w:val="right" w:pos="8306"/>
      </w:tabs>
      <w:snapToGrid w:val="0"/>
    </w:pPr>
    <w:rPr>
      <w:sz w:val="18"/>
      <w:szCs w:val="18"/>
    </w:rPr>
  </w:style>
  <w:style w:type="paragraph" w:styleId="8">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3"/>
    <w:semiHidden/>
    <w:unhideWhenUsed/>
    <w:qFormat/>
    <w:uiPriority w:val="99"/>
    <w:rPr>
      <w:b/>
      <w:bCs/>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customStyle="1" w:styleId="15">
    <w:name w:val="Heading 1"/>
    <w:basedOn w:val="1"/>
    <w:qFormat/>
    <w:uiPriority w:val="1"/>
    <w:pPr>
      <w:ind w:left="2644" w:right="2717"/>
      <w:jc w:val="center"/>
      <w:outlineLvl w:val="1"/>
    </w:pPr>
    <w:rPr>
      <w:b/>
      <w:bCs/>
      <w:sz w:val="38"/>
      <w:szCs w:val="38"/>
    </w:rPr>
  </w:style>
  <w:style w:type="paragraph" w:customStyle="1" w:styleId="16">
    <w:name w:val="Heading 2"/>
    <w:basedOn w:val="1"/>
    <w:qFormat/>
    <w:uiPriority w:val="1"/>
    <w:pPr>
      <w:ind w:left="2650" w:right="2717"/>
      <w:jc w:val="center"/>
      <w:outlineLvl w:val="2"/>
    </w:pPr>
    <w:rPr>
      <w:b/>
      <w:bCs/>
      <w:sz w:val="24"/>
      <w:szCs w:val="24"/>
    </w:rPr>
  </w:style>
  <w:style w:type="paragraph" w:customStyle="1" w:styleId="17">
    <w:name w:val="Heading 3"/>
    <w:basedOn w:val="1"/>
    <w:qFormat/>
    <w:uiPriority w:val="1"/>
    <w:pPr>
      <w:spacing w:before="48"/>
      <w:ind w:left="2650" w:right="2717"/>
      <w:jc w:val="center"/>
      <w:outlineLvl w:val="3"/>
    </w:pPr>
    <w:rPr>
      <w:b/>
      <w:bCs/>
      <w:sz w:val="21"/>
      <w:szCs w:val="21"/>
    </w:rPr>
  </w:style>
  <w:style w:type="paragraph" w:customStyle="1" w:styleId="18">
    <w:name w:val="Heading 4"/>
    <w:basedOn w:val="1"/>
    <w:qFormat/>
    <w:uiPriority w:val="1"/>
    <w:pPr>
      <w:spacing w:before="62"/>
      <w:ind w:left="100"/>
      <w:outlineLvl w:val="4"/>
    </w:pPr>
    <w:rPr>
      <w:b/>
      <w:bCs/>
      <w:sz w:val="20"/>
      <w:szCs w:val="20"/>
    </w:rPr>
  </w:style>
  <w:style w:type="paragraph" w:customStyle="1" w:styleId="19">
    <w:name w:val="Heading 5"/>
    <w:basedOn w:val="1"/>
    <w:qFormat/>
    <w:uiPriority w:val="1"/>
    <w:pPr>
      <w:ind w:left="312" w:hanging="207"/>
      <w:outlineLvl w:val="5"/>
    </w:pPr>
    <w:rPr>
      <w:b/>
      <w:bCs/>
      <w:sz w:val="19"/>
      <w:szCs w:val="19"/>
    </w:rPr>
  </w:style>
  <w:style w:type="paragraph" w:styleId="20">
    <w:name w:val="List Paragraph"/>
    <w:basedOn w:val="1"/>
    <w:qFormat/>
    <w:uiPriority w:val="1"/>
    <w:pPr>
      <w:spacing w:before="53"/>
      <w:ind w:left="106" w:firstLine="384"/>
    </w:pPr>
  </w:style>
  <w:style w:type="paragraph" w:customStyle="1" w:styleId="21">
    <w:name w:val="Table Paragraph"/>
    <w:basedOn w:val="1"/>
    <w:qFormat/>
    <w:uiPriority w:val="1"/>
  </w:style>
  <w:style w:type="character" w:customStyle="1" w:styleId="22">
    <w:name w:val="批注文字 Char"/>
    <w:basedOn w:val="12"/>
    <w:link w:val="4"/>
    <w:semiHidden/>
    <w:qFormat/>
    <w:uiPriority w:val="99"/>
    <w:rPr>
      <w:rFonts w:ascii="宋体" w:hAnsi="宋体" w:eastAsia="宋体" w:cs="宋体"/>
      <w:lang w:val="zh-CN" w:eastAsia="zh-CN" w:bidi="zh-CN"/>
    </w:rPr>
  </w:style>
  <w:style w:type="character" w:customStyle="1" w:styleId="23">
    <w:name w:val="批注主题 Char"/>
    <w:basedOn w:val="22"/>
    <w:link w:val="9"/>
    <w:semiHidden/>
    <w:qFormat/>
    <w:uiPriority w:val="99"/>
    <w:rPr>
      <w:b/>
      <w:bCs/>
    </w:rPr>
  </w:style>
  <w:style w:type="character" w:customStyle="1" w:styleId="24">
    <w:name w:val="批注框文本 Char"/>
    <w:basedOn w:val="12"/>
    <w:link w:val="6"/>
    <w:semiHidden/>
    <w:qFormat/>
    <w:uiPriority w:val="99"/>
    <w:rPr>
      <w:rFonts w:ascii="宋体" w:hAnsi="宋体" w:eastAsia="宋体" w:cs="宋体"/>
      <w:sz w:val="18"/>
      <w:szCs w:val="18"/>
      <w:lang w:val="zh-CN" w:eastAsia="zh-CN" w:bidi="zh-CN"/>
    </w:rPr>
  </w:style>
  <w:style w:type="character" w:customStyle="1" w:styleId="25">
    <w:name w:val="页眉 Char"/>
    <w:basedOn w:val="12"/>
    <w:link w:val="8"/>
    <w:semiHidden/>
    <w:qFormat/>
    <w:uiPriority w:val="99"/>
    <w:rPr>
      <w:rFonts w:ascii="宋体" w:hAnsi="宋体" w:eastAsia="宋体" w:cs="宋体"/>
      <w:sz w:val="18"/>
      <w:szCs w:val="18"/>
      <w:lang w:val="zh-CN" w:eastAsia="zh-CN" w:bidi="zh-CN"/>
    </w:rPr>
  </w:style>
  <w:style w:type="character" w:customStyle="1" w:styleId="26">
    <w:name w:val="页脚 Char"/>
    <w:basedOn w:val="12"/>
    <w:link w:val="7"/>
    <w:semiHidden/>
    <w:qFormat/>
    <w:uiPriority w:val="99"/>
    <w:rPr>
      <w:rFonts w:ascii="宋体" w:hAnsi="宋体" w:eastAsia="宋体" w:cs="宋体"/>
      <w:sz w:val="18"/>
      <w:szCs w:val="18"/>
      <w:lang w:val="zh-CN" w:eastAsia="zh-CN" w:bidi="zh-CN"/>
    </w:rPr>
  </w:style>
  <w:style w:type="table" w:customStyle="1" w:styleId="27">
    <w:name w:val="网格型1"/>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8">
    <w:name w:val="正文_2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font71"/>
    <w:basedOn w:val="12"/>
    <w:uiPriority w:val="0"/>
    <w:rPr>
      <w:rFonts w:hint="eastAsia" w:ascii="宋体" w:hAnsi="宋体" w:eastAsia="宋体" w:cs="宋体"/>
      <w:color w:val="FF0000"/>
      <w:sz w:val="21"/>
      <w:szCs w:val="21"/>
      <w:u w:val="none"/>
    </w:rPr>
  </w:style>
  <w:style w:type="character" w:customStyle="1" w:styleId="30">
    <w:name w:val="font61"/>
    <w:basedOn w:val="12"/>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58"/>
    <customShpInfo spid="_x0000_s1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5649</Words>
  <Characters>6075</Characters>
  <Lines>41</Lines>
  <Paragraphs>11</Paragraphs>
  <TotalTime>1</TotalTime>
  <ScaleCrop>false</ScaleCrop>
  <LinksUpToDate>false</LinksUpToDate>
  <CharactersWithSpaces>6092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2022-04-15T06:35:00Z</dcterms:created>
  <dc:creator>Administrator</dc:creator>
  <cp:lastModifiedBy>NTKO</cp:lastModifiedBy>
  <dcterms:modified xsi:type="dcterms:W3CDTF">2022-05-30T07:46:13Z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2022-04-13T00:00:00Z</vt:filetime>
  </property>
  <property fmtid="{D5CDD505-2E9C-101B-9397-08002B2CF9AE}" pid="3" name="Creator">
    <vt:lpwstr>wkhtmltopdf 0.12.5</vt:lpwstr>
  </property>
  <property fmtid="{D5CDD505-2E9C-101B-9397-08002B2CF9AE}" pid="4" name="LastSaved">
    <vt:filetime>2022-04-13T00:00:00Z</vt:filetime>
  </property>
  <property fmtid="{D5CDD505-2E9C-101B-9397-08002B2CF9AE}" pid="5" name="KSOProductBuildVer">
    <vt:lpwstr>2052-11.1.0.11744</vt:lpwstr>
  </property>
  <property fmtid="{D5CDD505-2E9C-101B-9397-08002B2CF9AE}" pid="6" name="ICV">
    <vt:lpwstr>189A2443187F44E1B0EFAE9059951A37</vt:lpwstr>
  </property>
</Properties>
</file>