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b/>
          <w:sz w:val="24"/>
        </w:rPr>
      </w:pPr>
    </w:p>
    <w:p>
      <w:pPr>
        <w:spacing w:before="158"/>
        <w:ind w:left="100"/>
        <w:rPr>
          <w:b/>
          <w:sz w:val="24"/>
        </w:rPr>
      </w:pPr>
      <w:r>
        <w:rPr>
          <w:b/>
          <w:sz w:val="24"/>
        </w:rPr>
        <w:t>《技术和服务要求响应表》</w:t>
      </w:r>
    </w:p>
    <w:p>
      <w:pPr>
        <w:rPr>
          <w:sz w:val="24"/>
        </w:rPr>
        <w:sectPr>
          <w:footerReference r:id="rId3" w:type="default"/>
          <w:pgSz w:w="11900" w:h="16840"/>
          <w:pgMar w:top="740" w:right="520" w:bottom="280" w:left="560" w:header="0" w:footer="567" w:gutter="0"/>
          <w:cols w:equalWidth="0" w:num="2">
            <w:col w:w="1209" w:space="2560"/>
            <w:col w:w="7051"/>
          </w:cols>
        </w:sectPr>
      </w:pPr>
    </w:p>
    <w:p>
      <w:pPr>
        <w:pStyle w:val="5"/>
        <w:spacing w:before="3"/>
        <w:rPr>
          <w:b/>
          <w:sz w:val="17"/>
        </w:rPr>
      </w:pPr>
    </w:p>
    <w:tbl>
      <w:tblPr>
        <w:tblStyle w:val="1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221"/>
        <w:gridCol w:w="889"/>
        <w:gridCol w:w="2110"/>
        <w:gridCol w:w="1583"/>
        <w:gridCol w:w="1055"/>
        <w:gridCol w:w="1055"/>
        <w:gridCol w:w="1252"/>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shd w:val="clear" w:color="auto" w:fill="E7E6E6"/>
            <w:vAlign w:val="center"/>
          </w:tcPr>
          <w:p>
            <w:pPr>
              <w:snapToGrid w:val="0"/>
              <w:ind w:firstLine="119"/>
              <w:jc w:val="center"/>
              <w:rPr>
                <w:sz w:val="20"/>
                <w:szCs w:val="20"/>
              </w:rPr>
            </w:pPr>
            <w:r>
              <w:rPr>
                <w:rFonts w:hint="eastAsia"/>
                <w:spacing w:val="1"/>
                <w:sz w:val="20"/>
                <w:szCs w:val="20"/>
              </w:rPr>
              <w:t>序号</w:t>
            </w:r>
          </w:p>
        </w:tc>
        <w:tc>
          <w:tcPr>
            <w:tcW w:w="1221" w:type="dxa"/>
            <w:shd w:val="clear" w:color="auto" w:fill="E7E6E6"/>
            <w:vAlign w:val="center"/>
          </w:tcPr>
          <w:p>
            <w:pPr>
              <w:snapToGrid w:val="0"/>
              <w:jc w:val="center"/>
              <w:rPr>
                <w:sz w:val="20"/>
                <w:szCs w:val="20"/>
              </w:rPr>
            </w:pPr>
            <w:r>
              <w:rPr>
                <w:rFonts w:hint="eastAsia"/>
                <w:sz w:val="20"/>
                <w:szCs w:val="20"/>
              </w:rPr>
              <w:t>标的名称</w:t>
            </w:r>
          </w:p>
        </w:tc>
        <w:tc>
          <w:tcPr>
            <w:tcW w:w="889" w:type="dxa"/>
            <w:shd w:val="clear" w:color="auto" w:fill="E7E6E6"/>
            <w:vAlign w:val="center"/>
          </w:tcPr>
          <w:p>
            <w:pPr>
              <w:snapToGrid w:val="0"/>
              <w:jc w:val="center"/>
              <w:rPr>
                <w:sz w:val="20"/>
                <w:szCs w:val="20"/>
              </w:rPr>
            </w:pPr>
            <w:r>
              <w:rPr>
                <w:rFonts w:hint="eastAsia"/>
                <w:spacing w:val="8"/>
                <w:sz w:val="20"/>
                <w:szCs w:val="20"/>
              </w:rPr>
              <w:t>参数性质</w:t>
            </w:r>
          </w:p>
        </w:tc>
        <w:tc>
          <w:tcPr>
            <w:tcW w:w="2110" w:type="dxa"/>
            <w:shd w:val="clear" w:color="auto" w:fill="E7E6E6"/>
            <w:vAlign w:val="center"/>
          </w:tcPr>
          <w:p>
            <w:pPr>
              <w:pStyle w:val="28"/>
              <w:snapToGrid w:val="0"/>
              <w:spacing w:line="240" w:lineRule="auto"/>
              <w:jc w:val="center"/>
              <w:rPr>
                <w:sz w:val="20"/>
                <w:szCs w:val="20"/>
              </w:rPr>
            </w:pPr>
            <w:r>
              <w:rPr>
                <w:rFonts w:hint="eastAsia"/>
                <w:spacing w:val="8"/>
                <w:sz w:val="20"/>
                <w:szCs w:val="20"/>
              </w:rPr>
              <w:t>采购文件规定的技术和服务要求</w:t>
            </w:r>
          </w:p>
        </w:tc>
        <w:tc>
          <w:tcPr>
            <w:tcW w:w="1583" w:type="dxa"/>
            <w:shd w:val="clear" w:color="auto" w:fill="E7E6E6"/>
            <w:vAlign w:val="center"/>
          </w:tcPr>
          <w:p>
            <w:pPr>
              <w:snapToGrid w:val="0"/>
              <w:jc w:val="center"/>
              <w:rPr>
                <w:sz w:val="20"/>
                <w:szCs w:val="20"/>
              </w:rPr>
            </w:pPr>
            <w:r>
              <w:rPr>
                <w:rFonts w:hint="eastAsia"/>
                <w:sz w:val="20"/>
                <w:szCs w:val="20"/>
              </w:rPr>
              <w:t>投标文件响应</w:t>
            </w:r>
          </w:p>
          <w:p>
            <w:pPr>
              <w:snapToGrid w:val="0"/>
              <w:jc w:val="center"/>
              <w:rPr>
                <w:sz w:val="20"/>
                <w:szCs w:val="20"/>
              </w:rPr>
            </w:pPr>
            <w:r>
              <w:rPr>
                <w:rFonts w:hint="eastAsia"/>
                <w:sz w:val="20"/>
                <w:szCs w:val="20"/>
              </w:rPr>
              <w:t>的具体内容</w:t>
            </w:r>
          </w:p>
        </w:tc>
        <w:tc>
          <w:tcPr>
            <w:tcW w:w="1055" w:type="dxa"/>
            <w:shd w:val="clear" w:color="auto" w:fill="E7E6E6"/>
            <w:vAlign w:val="center"/>
          </w:tcPr>
          <w:p>
            <w:pPr>
              <w:snapToGrid w:val="0"/>
              <w:jc w:val="center"/>
              <w:rPr>
                <w:sz w:val="20"/>
                <w:szCs w:val="20"/>
              </w:rPr>
            </w:pPr>
            <w:r>
              <w:rPr>
                <w:rFonts w:hint="eastAsia"/>
                <w:sz w:val="20"/>
                <w:szCs w:val="20"/>
              </w:rPr>
              <w:t>型号</w:t>
            </w:r>
          </w:p>
        </w:tc>
        <w:tc>
          <w:tcPr>
            <w:tcW w:w="1055" w:type="dxa"/>
            <w:shd w:val="clear" w:color="auto" w:fill="E7E6E6"/>
            <w:vAlign w:val="center"/>
          </w:tcPr>
          <w:p>
            <w:pPr>
              <w:snapToGrid w:val="0"/>
              <w:jc w:val="center"/>
              <w:rPr>
                <w:sz w:val="20"/>
                <w:szCs w:val="20"/>
              </w:rPr>
            </w:pPr>
            <w:r>
              <w:rPr>
                <w:rFonts w:hint="eastAsia"/>
                <w:spacing w:val="8"/>
                <w:sz w:val="20"/>
                <w:szCs w:val="20"/>
              </w:rPr>
              <w:t>是否偏离</w:t>
            </w:r>
          </w:p>
        </w:tc>
        <w:tc>
          <w:tcPr>
            <w:tcW w:w="1252" w:type="dxa"/>
            <w:shd w:val="clear" w:color="auto" w:fill="E7E6E6"/>
            <w:vAlign w:val="center"/>
          </w:tcPr>
          <w:p>
            <w:pPr>
              <w:snapToGrid w:val="0"/>
              <w:ind w:firstLine="180"/>
              <w:jc w:val="center"/>
              <w:rPr>
                <w:sz w:val="20"/>
                <w:szCs w:val="20"/>
              </w:rPr>
            </w:pPr>
            <w:r>
              <w:rPr>
                <w:rFonts w:hint="eastAsia"/>
                <w:sz w:val="20"/>
                <w:szCs w:val="20"/>
              </w:rPr>
              <w:t>证明文件所在位置</w:t>
            </w:r>
          </w:p>
        </w:tc>
        <w:tc>
          <w:tcPr>
            <w:tcW w:w="853" w:type="dxa"/>
            <w:shd w:val="clear" w:color="auto" w:fill="E7E6E6"/>
            <w:vAlign w:val="center"/>
          </w:tcPr>
          <w:p>
            <w:pPr>
              <w:snapToGrid w:val="0"/>
              <w:jc w:val="center"/>
              <w:rPr>
                <w:sz w:val="20"/>
                <w:szCs w:val="20"/>
              </w:rPr>
            </w:pPr>
            <w:r>
              <w:rPr>
                <w:rFonts w:hint="eastAsia"/>
                <w:spacing w:val="1"/>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1、主机成像系统：</w:t>
            </w:r>
            <w:r>
              <w:rPr>
                <w:rFonts w:hint="eastAsia" w:ascii="宋体" w:hAnsi="宋体" w:eastAsia="宋体" w:cs="宋体"/>
                <w:i w:val="0"/>
                <w:iCs w:val="0"/>
                <w:color w:val="000000"/>
                <w:kern w:val="0"/>
                <w:sz w:val="21"/>
                <w:szCs w:val="21"/>
                <w:u w:val="none"/>
                <w:lang w:val="en-US" w:eastAsia="zh-CN" w:bidi="ar"/>
              </w:rPr>
              <w:t>1.1 高分辨率液晶显示器≥21英寸, 分辨率≥1920×1080，无闪烁，不间断逐行扫描，可在上下/左右/前后范围内灵活调节</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▲1.2 操作面板具备液晶触摸屏≥11英寸,可通过手指滑动触摸屏进行翻页，直接点击触摸屏可选择需要调节的参数，操作面板可上下左右进行高度调整及旋转</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▲1.3 触摸屏可以与主显示器实时同步显示动态图像</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1.4 监视器可全屏显示扫查图像，包括二维、彩色、频谱等，并可任意显示及隐藏屏幕菜单</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kern w:val="2"/>
                <w:sz w:val="20"/>
                <w:szCs w:val="20"/>
                <w:lang w:val="en-US" w:bidi="ar-SA"/>
              </w:rPr>
            </w:pPr>
            <w:r>
              <w:rPr>
                <w:rFonts w:hint="eastAsia" w:ascii="宋体" w:hAnsi="宋体" w:eastAsia="宋体" w:cs="宋体"/>
                <w:i w:val="0"/>
                <w:iCs w:val="0"/>
                <w:color w:val="000000"/>
                <w:kern w:val="0"/>
                <w:sz w:val="21"/>
                <w:szCs w:val="21"/>
                <w:u w:val="none"/>
                <w:lang w:val="en-US" w:eastAsia="zh-CN" w:bidi="ar"/>
              </w:rPr>
              <w:t>1.5 通用成像探头接口≥4个，微型无针式接口，接口通用，可任意互换</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kern w:val="2"/>
                <w:sz w:val="20"/>
                <w:szCs w:val="20"/>
                <w:lang w:val="en-US" w:bidi="ar-SA"/>
              </w:rPr>
            </w:pPr>
            <w:r>
              <w:rPr>
                <w:rFonts w:hint="eastAsia" w:ascii="宋体" w:hAnsi="宋体" w:eastAsia="宋体" w:cs="宋体"/>
                <w:i w:val="0"/>
                <w:iCs w:val="0"/>
                <w:color w:val="000000"/>
                <w:kern w:val="0"/>
                <w:sz w:val="21"/>
                <w:szCs w:val="21"/>
                <w:u w:val="none"/>
                <w:lang w:val="en-US" w:eastAsia="zh-CN" w:bidi="ar"/>
              </w:rPr>
              <w:t>1.6 具备集束精准波束发射技术和海量并行处理技术，依次接收海量原始声学数据，系统进行全程动态聚焦</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kern w:val="2"/>
                <w:sz w:val="20"/>
                <w:szCs w:val="20"/>
                <w:lang w:val="en-US" w:bidi="ar-SA"/>
              </w:rPr>
            </w:pPr>
            <w:r>
              <w:rPr>
                <w:rFonts w:hint="eastAsia" w:ascii="宋体" w:hAnsi="宋体" w:eastAsia="宋体" w:cs="宋体"/>
                <w:i w:val="0"/>
                <w:iCs w:val="0"/>
                <w:color w:val="000000"/>
                <w:kern w:val="0"/>
                <w:sz w:val="21"/>
                <w:szCs w:val="21"/>
                <w:u w:val="none"/>
                <w:lang w:val="en-US" w:eastAsia="zh-CN" w:bidi="ar"/>
              </w:rPr>
              <w:t>1.7 具备自适应核磁像素优化技术，可增强组织边界，抑制斑点噪声，可用于多种模式，多级可调（</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4级），支持所有探头</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kern w:val="2"/>
                <w:sz w:val="20"/>
                <w:szCs w:val="20"/>
                <w:lang w:val="en-US" w:bidi="ar-SA"/>
              </w:rPr>
            </w:pPr>
            <w:r>
              <w:rPr>
                <w:rFonts w:hint="eastAsia" w:ascii="宋体" w:hAnsi="宋体" w:eastAsia="宋体" w:cs="宋体"/>
                <w:i w:val="0"/>
                <w:iCs w:val="0"/>
                <w:color w:val="000000"/>
                <w:kern w:val="0"/>
                <w:sz w:val="21"/>
                <w:szCs w:val="21"/>
                <w:u w:val="none"/>
                <w:lang w:val="en-US" w:eastAsia="zh-CN" w:bidi="ar"/>
              </w:rPr>
              <w:t>1.8 数字化二维灰阶成像及M型显像单元</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1.9 单晶体纯净波探头技术:支持相控阵、凸阵、线阵</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1.11 解剖M型技术,可360度任意旋转M型取样线角度方便准确的进行测量；</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1.12 脉冲反向谐波成像单元</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1.13 彩色多普勒成像技术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1.14 彩色多普勒能量图技术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1.15 方向性能量图技术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1.16 数字化频谱多普勒显示和分析单元(至少包括PW、CW和HPRF)</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1.17 动态范围≥320Db</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 xml:space="preserve">1.18 数字化通道≥7000000 </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1.19 智能全程聚焦技术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1.20 智能化一键图像优化技术，可自适应调整图像的增益等参数</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1.21 空间复合成像技术，可同时用于发射和接收，可支持多线偏转（可作曲别针试验)，支持所有凸阵、微凸阵和线阵成像探头</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1.22 实时双同步/三同步能力</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1.23 内置DICOM 3.0 标准输出接口</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1.24 内有一体化超声工作站</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1.25 系统主机内置硬盘≥1TB</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2、二维灰阶成像单元</w:t>
            </w:r>
            <w:r>
              <w:rPr>
                <w:rFonts w:hint="eastAsia" w:ascii="宋体" w:hAnsi="宋体" w:eastAsia="宋体" w:cs="宋体"/>
                <w:i w:val="0"/>
                <w:iCs w:val="0"/>
                <w:color w:val="000000"/>
                <w:kern w:val="0"/>
                <w:sz w:val="21"/>
                <w:szCs w:val="21"/>
                <w:u w:val="none"/>
                <w:lang w:val="en-US" w:eastAsia="zh-CN" w:bidi="ar"/>
              </w:rPr>
              <w:t>2.1 所有探头均为宽频、多点变频探头，基波频率、基波与谐波成像频率必须具体在屏幕上显示</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2.2 纯净波单晶体探头技术用于经胸心脏探头、腹部凸阵探头、小儿经胸心脏探头，线阵高频探头</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2.3 具备自适应核磁像素优化技术，可增强组织边界，抑制斑点噪声，可用于多种模式（2D、3D），多级可调（</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4级）</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2.4 支持实时空间多角度复合成像技术，同时作用于发射和接收，最大偏转角度≥4个</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2.5 凸阵、线阵探头具备扩展成像技术，可与空间复合成像，斑点噪声抑制技术联合使用，且扩展角度≥14度；</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2.6 支持一键优化图像，可实时优化二维增益、TGC曲线</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 xml:space="preserve">2.7 自动实时持续增益补偿 </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2.8 侧向增益补偿技术，支持相控阵，且可视可调</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2.9 具备双幅对比显示，可自动识别收缩期及舒张期，便捷Simpson’s测量</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kern w:val="2"/>
                <w:sz w:val="20"/>
                <w:szCs w:val="20"/>
                <w:lang w:val="en-US" w:bidi="ar-SA"/>
              </w:rPr>
            </w:pPr>
            <w:r>
              <w:rPr>
                <w:rFonts w:hint="eastAsia" w:ascii="宋体" w:hAnsi="宋体" w:eastAsia="宋体" w:cs="宋体"/>
                <w:i w:val="0"/>
                <w:iCs w:val="0"/>
                <w:color w:val="000000"/>
                <w:kern w:val="0"/>
                <w:sz w:val="21"/>
                <w:szCs w:val="21"/>
                <w:u w:val="none"/>
                <w:lang w:val="en-US" w:eastAsia="zh-CN" w:bidi="ar"/>
              </w:rPr>
              <w:t>2.10分辨率和帧频可视可调，且支持凸阵、微凸阵、线阵、相控阵</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2.11超宽视野全景成像扫描技术(测量功能, 线阵和凸阵探头具备)，可与像素优化技术结合使用</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2.12穿刺引导功能：支持相控阵、凸阵、线阵探头穿刺引导功能；相控阵探头穿刺引导角度≥3个，凸阵探头穿刺引导角度≥4个；线阵探头穿刺引导角度≥3个</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kern w:val="2"/>
                <w:sz w:val="20"/>
                <w:szCs w:val="20"/>
                <w:lang w:val="en-US" w:bidi="ar-SA"/>
              </w:rPr>
            </w:pPr>
            <w:r>
              <w:rPr>
                <w:rFonts w:hint="eastAsia" w:ascii="宋体" w:hAnsi="宋体" w:eastAsia="宋体" w:cs="宋体"/>
                <w:i w:val="0"/>
                <w:iCs w:val="0"/>
                <w:color w:val="000000"/>
                <w:kern w:val="0"/>
                <w:sz w:val="21"/>
                <w:szCs w:val="21"/>
                <w:u w:val="none"/>
                <w:lang w:val="en-US" w:eastAsia="zh-CN" w:bidi="ar"/>
              </w:rPr>
              <w:t>▲2.13全屏高清显示，放大后图像显示区域尺寸≥21.0”，分辨率≥1080p，放大后整个显示器屏幕内仅显示有效图像信息，而无其他菜单界面显示</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2.14扩展成像技术：凸阵、线阵探头均支持此功能，且可以联合空间复合成像技术及斑点噪声抑制技术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▲2.15具备专业心超工作者定制界面，提高易用性，具有不少于30项功能操作位置自定义调节</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3、彩色多普勒血流成像单元</w:t>
            </w:r>
            <w:r>
              <w:rPr>
                <w:rFonts w:hint="eastAsia" w:ascii="宋体" w:hAnsi="宋体" w:eastAsia="宋体" w:cs="宋体"/>
                <w:i w:val="0"/>
                <w:iCs w:val="0"/>
                <w:color w:val="000000"/>
                <w:kern w:val="0"/>
                <w:sz w:val="21"/>
                <w:szCs w:val="21"/>
                <w:u w:val="none"/>
                <w:lang w:val="en-US" w:eastAsia="zh-CN" w:bidi="ar"/>
              </w:rPr>
              <w:t>3.1 具有二维彩色模式、实时三维彩色模式、能量图模式、彩色M型模式、组织速度图、组织位移图、组织应变、组织应变率等多种模式</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3.2 自适应超宽频带彩色多普勒成像技术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3.3 彩色能量图及方向能量图</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3.4 单键预设血流成像参数</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kern w:val="2"/>
                <w:sz w:val="20"/>
                <w:szCs w:val="20"/>
                <w:lang w:val="en-US" w:bidi="ar-SA"/>
              </w:rPr>
            </w:pPr>
            <w:r>
              <w:rPr>
                <w:rFonts w:hint="eastAsia" w:ascii="宋体" w:hAnsi="宋体" w:eastAsia="宋体" w:cs="宋体"/>
                <w:i w:val="0"/>
                <w:iCs w:val="0"/>
                <w:color w:val="000000"/>
                <w:kern w:val="0"/>
                <w:sz w:val="21"/>
                <w:szCs w:val="21"/>
                <w:u w:val="none"/>
                <w:lang w:val="en-US" w:eastAsia="zh-CN" w:bidi="ar"/>
              </w:rPr>
              <w:t>3.5 彩色实时同屏双幅对比显像</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3.6 具备血流自动追踪技术，可一键实时追踪血管位置，自动调整彩色图像</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▲3.7具备专业冠脉血流成像模式，可支持所有心脏成像探头（包括成人心脏相控阵探头、小儿相控阵探头）</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3.8 彩色增益可独立调节，支持凸阵、线阵、相控阵、矩阵探头</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4、频谱多普勒成像单元</w:t>
            </w:r>
            <w:r>
              <w:rPr>
                <w:rFonts w:hint="eastAsia" w:ascii="宋体" w:hAnsi="宋体" w:eastAsia="宋体" w:cs="宋体"/>
                <w:i w:val="0"/>
                <w:iCs w:val="0"/>
                <w:color w:val="000000"/>
                <w:kern w:val="0"/>
                <w:sz w:val="21"/>
                <w:szCs w:val="21"/>
                <w:u w:val="none"/>
                <w:lang w:val="en-US" w:eastAsia="zh-CN" w:bidi="ar"/>
              </w:rPr>
              <w:t>4.1 支持自适应多普勒技术，可一键实时追踪血管位置，调整彩色多普勒（包括取样框角度、位置、取样容积位置等），自动优化频谱测量以保证测量值的准确性；</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4.2 至少提供PW、CW、HPRF模式，高性能三同步成像</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4.3 实时自动多普勒测量分析，可提供参数选择≥14个参数</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4.4 一键自动优化多普勒频谱，自动调整基线及量程</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4.5 频谱自动分析系统：包括实时自动包络、冻结后自动包络、手动包络；自动计算各血流动力学参数，参数可根据需求灵活进行选择</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5、组织多普勒成像单元</w:t>
            </w:r>
            <w:r>
              <w:rPr>
                <w:rFonts w:hint="eastAsia" w:ascii="宋体" w:hAnsi="宋体" w:eastAsia="宋体" w:cs="宋体"/>
                <w:i w:val="0"/>
                <w:iCs w:val="0"/>
                <w:color w:val="000000"/>
                <w:kern w:val="0"/>
                <w:sz w:val="21"/>
                <w:szCs w:val="21"/>
                <w:u w:val="none"/>
                <w:lang w:val="en-US" w:eastAsia="zh-CN" w:bidi="ar"/>
              </w:rPr>
              <w:t>5.1 高帧频彩色和脉冲波组织多普勒成像</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kern w:val="2"/>
                <w:sz w:val="20"/>
                <w:szCs w:val="20"/>
                <w:lang w:val="en-US" w:bidi="ar-SA"/>
              </w:rPr>
            </w:pPr>
            <w:r>
              <w:rPr>
                <w:rFonts w:hint="eastAsia" w:ascii="宋体" w:hAnsi="宋体" w:eastAsia="宋体" w:cs="宋体"/>
                <w:i w:val="0"/>
                <w:iCs w:val="0"/>
                <w:color w:val="000000"/>
                <w:kern w:val="0"/>
                <w:sz w:val="21"/>
                <w:szCs w:val="21"/>
                <w:u w:val="none"/>
                <w:lang w:val="en-US" w:eastAsia="zh-CN" w:bidi="ar"/>
              </w:rPr>
              <w:t>5.2 二维、彩色M型、速度曲线同屏显示</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5.3 专业TDI测量软件包</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5.4 可进行组织速度、组织达峰时间、心肌应变、应变率、组织追踪、组织同步化定量分析5.5 提供基于组织多普勒的定量分析，可同时显示至少32个亚节段的心肌速度曲线、位移曲线、应变及应变率曲线，可用于整体及节段功能评价。</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6、组织谐波成像单元</w:t>
            </w:r>
            <w:r>
              <w:rPr>
                <w:rFonts w:hint="eastAsia" w:ascii="宋体" w:hAnsi="宋体" w:eastAsia="宋体" w:cs="宋体"/>
                <w:i w:val="0"/>
                <w:iCs w:val="0"/>
                <w:color w:val="000000"/>
                <w:kern w:val="0"/>
                <w:sz w:val="21"/>
                <w:szCs w:val="21"/>
                <w:u w:val="none"/>
                <w:lang w:val="en-US" w:eastAsia="zh-CN" w:bidi="ar"/>
              </w:rPr>
              <w:t>6.1 具备滤波式谐波技术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6.2 脉冲反相谐波技术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6.3 可显示谐波频率和基波频率</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7、超声造影成像单元</w:t>
            </w:r>
            <w:r>
              <w:rPr>
                <w:rFonts w:hint="eastAsia" w:ascii="宋体" w:hAnsi="宋体" w:eastAsia="宋体" w:cs="宋体"/>
                <w:i w:val="0"/>
                <w:iCs w:val="0"/>
                <w:color w:val="000000"/>
                <w:kern w:val="0"/>
                <w:sz w:val="21"/>
                <w:szCs w:val="21"/>
                <w:u w:val="none"/>
                <w:lang w:val="en-US" w:eastAsia="zh-CN" w:bidi="ar"/>
              </w:rPr>
              <w:t>7.1 造影剂二次谐波成像单元,包含低MI实时灌注成像和Flash爆破造影成像，采用脉冲反相谐波技术、能量调制技术以及多脉冲序列谐波造影技术。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7.2 造影可与核磁像素优化技术结合使用，支持凸阵、线阵、相控阵、矩阵探头</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7.3 造影技术支持凸阵、线阵、相控阵，可满足临床对心腔、心肌、腹部、血管成像的需求</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7.4 支持负荷超声成像下的心肌灌注造影</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 xml:space="preserve">7.5 具有计时器及闪烁造影成像技术，且闪烁帧数可调、机械指数可调、长度可调，可心电触发和时间触发 </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▲7.6 具有实时相交互两个平面同屏同时相显示造影成像技术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7.7 具备二维心脏造影技术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7.8 具备造影定量分析功能及运动补偿功能，实时追踪被定量组织，消除因患者呼吸、运动等产生的组织位移</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7.9 具有低机械指数用于心肌造影成像</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sz w:val="20"/>
                <w:szCs w:val="20"/>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7.10具备在机及脱机造影定量分析，可提供≥7种参数；且造影连续采集时间≥6分钟</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7.11分析结果可自动导入系统工作表进行存储</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8、负荷超声成像单元</w:t>
            </w:r>
            <w:r>
              <w:rPr>
                <w:rFonts w:hint="eastAsia" w:ascii="宋体" w:hAnsi="宋体" w:eastAsia="宋体" w:cs="宋体"/>
                <w:i w:val="0"/>
                <w:iCs w:val="0"/>
                <w:color w:val="000000"/>
                <w:kern w:val="0"/>
                <w:sz w:val="21"/>
                <w:szCs w:val="21"/>
                <w:u w:val="none"/>
                <w:lang w:val="en-US" w:eastAsia="zh-CN" w:bidi="ar"/>
              </w:rPr>
              <w:t>8.1 内置专业负荷超声模板</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8.2 自定义编辑模板</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8.3 支持运动负荷、药物负荷</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8.4 支持室壁运动造影成像模板</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8.5 提供负荷超声斑点追踪定量分析</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8.6 智能旋转角度可植入负荷超声模板中</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9、负荷心肌运动定量:可对负荷试验左室整体和局部进行定量分析</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10、测量和分析（B型、M型、频谱多普勒、彩色多普勒）</w:t>
            </w:r>
            <w:r>
              <w:rPr>
                <w:rFonts w:hint="eastAsia" w:ascii="宋体" w:hAnsi="宋体" w:eastAsia="宋体" w:cs="宋体"/>
                <w:i w:val="0"/>
                <w:iCs w:val="0"/>
                <w:color w:val="000000"/>
                <w:kern w:val="0"/>
                <w:sz w:val="21"/>
                <w:szCs w:val="21"/>
                <w:u w:val="none"/>
                <w:lang w:val="en-US" w:eastAsia="zh-CN" w:bidi="ar"/>
              </w:rPr>
              <w:t>10.1 一般常规测量（直径、面积、体积、狭窄率、压差等）,且面积狭窄率有椭圆描迹和自定义描迹（附图）</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10.2 多普勒血流测量及分析</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▲10.3心脏功能测量与分析，可支持Simpson 三点法快速描记心内膜，加快工作流程。</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10.4 自动、实时多普勒频谱波形分析，在实时或者冻结模式下都可以使用</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10.5 心功能定量、半定量技术</w:t>
            </w:r>
            <w:r>
              <w:rPr>
                <w:rFonts w:hint="eastAsia" w:ascii="宋体" w:hAnsi="宋体" w:eastAsia="宋体" w:cs="宋体"/>
                <w:i w:val="0"/>
                <w:iCs w:val="0"/>
                <w:color w:val="000000"/>
                <w:kern w:val="0"/>
                <w:sz w:val="21"/>
                <w:szCs w:val="21"/>
                <w:u w:val="none"/>
                <w:lang w:val="en-US" w:eastAsia="zh-CN" w:bidi="ar"/>
              </w:rPr>
              <w:t>10.5.1自动二维左心室功能定量依据选择的心脏切面自动描记感兴趣区，自动计算EF，ESV，EDV；</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▲10.5.2自动二维左心房功能定量依据选择的心脏切面自动描记感兴趣区，自动计算EF，最大体积，最小体积</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▲10.5.2 可提供更深层次报告页面，包括容积及左室有关收缩、舒张功能的高级参数：LVEF、PER、PRFR、AFF</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▲10.5.3 自动组织瓣环位移功能可自动对房室瓣环运动进行可视化定量分析，快速评估心脏整体功能</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10.5.4 可使用回放或存储剪辑分析，可在机、脱机分析</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10.6</w:t>
            </w:r>
            <w:r>
              <w:rPr>
                <w:rFonts w:hint="eastAsia" w:ascii="宋体" w:hAnsi="宋体" w:eastAsia="宋体" w:cs="宋体"/>
                <w:i w:val="0"/>
                <w:iCs w:val="0"/>
                <w:color w:val="000000"/>
                <w:kern w:val="0"/>
                <w:sz w:val="21"/>
                <w:szCs w:val="21"/>
                <w:u w:val="none"/>
                <w:lang w:val="en-US" w:eastAsia="zh-CN" w:bidi="ar"/>
              </w:rPr>
              <w:t xml:space="preserve"> 感兴趣区定量</w:t>
            </w:r>
            <w:r>
              <w:rPr>
                <w:rFonts w:hint="eastAsia" w:cs="宋体"/>
                <w:i w:val="0"/>
                <w:iCs w:val="0"/>
                <w:color w:val="000000"/>
                <w:kern w:val="0"/>
                <w:sz w:val="21"/>
                <w:szCs w:val="21"/>
                <w:u w:val="none"/>
                <w:lang w:val="en-US" w:eastAsia="zh-CN" w:bidi="ar"/>
              </w:rPr>
              <w:t>10.6</w:t>
            </w:r>
            <w:r>
              <w:rPr>
                <w:rFonts w:hint="eastAsia" w:ascii="宋体" w:hAnsi="宋体" w:eastAsia="宋体" w:cs="宋体"/>
                <w:i w:val="0"/>
                <w:iCs w:val="0"/>
                <w:color w:val="000000"/>
                <w:kern w:val="0"/>
                <w:sz w:val="21"/>
                <w:szCs w:val="21"/>
                <w:u w:val="none"/>
                <w:lang w:val="en-US" w:eastAsia="zh-CN" w:bidi="ar"/>
              </w:rPr>
              <w:t>.1 具有多个用户自定义的区域</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10.6</w:t>
            </w:r>
            <w:r>
              <w:rPr>
                <w:rFonts w:hint="eastAsia" w:ascii="宋体" w:hAnsi="宋体" w:eastAsia="宋体" w:cs="宋体"/>
                <w:i w:val="0"/>
                <w:iCs w:val="0"/>
                <w:color w:val="000000"/>
                <w:kern w:val="0"/>
                <w:sz w:val="21"/>
                <w:szCs w:val="21"/>
                <w:u w:val="none"/>
                <w:lang w:val="en-US" w:eastAsia="zh-CN" w:bidi="ar"/>
              </w:rPr>
              <w:t>.2 像素密度分析，数据类型包括：灰阶回声、速度或能量（血管造影）</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10.6</w:t>
            </w:r>
            <w:r>
              <w:rPr>
                <w:rFonts w:hint="eastAsia" w:ascii="宋体" w:hAnsi="宋体" w:eastAsia="宋体" w:cs="宋体"/>
                <w:i w:val="0"/>
                <w:iCs w:val="0"/>
                <w:color w:val="000000"/>
                <w:kern w:val="0"/>
                <w:sz w:val="21"/>
                <w:szCs w:val="21"/>
                <w:u w:val="none"/>
                <w:lang w:val="en-US" w:eastAsia="zh-CN" w:bidi="ar"/>
              </w:rPr>
              <w:t>.3 自动标记 ECG 触发，以实现特定心动周期时相的定量分析</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10.6</w:t>
            </w:r>
            <w:r>
              <w:rPr>
                <w:rFonts w:hint="eastAsia" w:ascii="宋体" w:hAnsi="宋体" w:eastAsia="宋体" w:cs="宋体"/>
                <w:i w:val="0"/>
                <w:iCs w:val="0"/>
                <w:color w:val="000000"/>
                <w:kern w:val="0"/>
                <w:sz w:val="21"/>
                <w:szCs w:val="21"/>
                <w:u w:val="none"/>
                <w:lang w:val="en-US" w:eastAsia="zh-CN" w:bidi="ar"/>
              </w:rPr>
              <w:t>.4 平均值、中位数和标准差计算</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10.6</w:t>
            </w:r>
            <w:r>
              <w:rPr>
                <w:rFonts w:hint="eastAsia" w:ascii="宋体" w:hAnsi="宋体" w:eastAsia="宋体" w:cs="宋体"/>
                <w:i w:val="0"/>
                <w:iCs w:val="0"/>
                <w:color w:val="000000"/>
                <w:kern w:val="0"/>
                <w:sz w:val="21"/>
                <w:szCs w:val="21"/>
                <w:u w:val="none"/>
                <w:lang w:val="en-US" w:eastAsia="zh-CN" w:bidi="ar"/>
              </w:rPr>
              <w:t>.5 时间－密度曲线</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10.6</w:t>
            </w:r>
            <w:r>
              <w:rPr>
                <w:rFonts w:hint="eastAsia" w:ascii="宋体" w:hAnsi="宋体" w:eastAsia="宋体" w:cs="宋体"/>
                <w:i w:val="0"/>
                <w:iCs w:val="0"/>
                <w:color w:val="000000"/>
                <w:kern w:val="0"/>
                <w:sz w:val="21"/>
                <w:szCs w:val="21"/>
                <w:u w:val="none"/>
                <w:lang w:val="en-US" w:eastAsia="zh-CN" w:bidi="ar"/>
              </w:rPr>
              <w:t>.6曲线拟合工具</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Gamma 变量(Wash-in/Wash-out</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负指数方程 </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 线性方程</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10.6</w:t>
            </w:r>
            <w:r>
              <w:rPr>
                <w:rFonts w:hint="eastAsia" w:ascii="宋体" w:hAnsi="宋体" w:eastAsia="宋体" w:cs="宋体"/>
                <w:i w:val="0"/>
                <w:iCs w:val="0"/>
                <w:color w:val="000000"/>
                <w:kern w:val="0"/>
                <w:sz w:val="21"/>
                <w:szCs w:val="21"/>
                <w:u w:val="none"/>
                <w:lang w:val="en-US" w:eastAsia="zh-CN" w:bidi="ar"/>
              </w:rPr>
              <w:t>.7 分析结果包括每一帧图像的 dB 数值、密度或速度/频率、达峰时间、“A” 值，曲线下面积和峰值密度</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10.7</w:t>
            </w:r>
            <w:r>
              <w:rPr>
                <w:rFonts w:hint="eastAsia" w:ascii="宋体" w:hAnsi="宋体" w:eastAsia="宋体" w:cs="宋体"/>
                <w:i w:val="0"/>
                <w:iCs w:val="0"/>
                <w:color w:val="000000"/>
                <w:kern w:val="0"/>
                <w:sz w:val="21"/>
                <w:szCs w:val="21"/>
                <w:u w:val="none"/>
                <w:lang w:val="en-US" w:eastAsia="zh-CN" w:bidi="ar"/>
              </w:rPr>
              <w:t xml:space="preserve"> 心肌应变定量 </w:t>
            </w:r>
            <w:r>
              <w:rPr>
                <w:rFonts w:hint="eastAsia" w:cs="宋体"/>
                <w:i w:val="0"/>
                <w:iCs w:val="0"/>
                <w:color w:val="000000"/>
                <w:kern w:val="0"/>
                <w:sz w:val="21"/>
                <w:szCs w:val="21"/>
                <w:u w:val="none"/>
                <w:lang w:val="en-US" w:eastAsia="zh-CN" w:bidi="ar"/>
              </w:rPr>
              <w:t>10.7</w:t>
            </w:r>
            <w:r>
              <w:rPr>
                <w:rFonts w:hint="eastAsia" w:ascii="宋体" w:hAnsi="宋体" w:eastAsia="宋体" w:cs="宋体"/>
                <w:i w:val="0"/>
                <w:iCs w:val="0"/>
                <w:color w:val="000000"/>
                <w:kern w:val="0"/>
                <w:sz w:val="21"/>
                <w:szCs w:val="21"/>
                <w:u w:val="none"/>
                <w:lang w:val="en-US" w:eastAsia="zh-CN" w:bidi="ar"/>
              </w:rPr>
              <w:t>.1 实时组织多普勒显示，多个心动周期数据显示,单节段运动速度曲线、32节段运动速度曲线同步显示、同一时间点的不同节段速度同步显示</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10.7</w:t>
            </w:r>
            <w:r>
              <w:rPr>
                <w:rFonts w:hint="eastAsia" w:ascii="宋体" w:hAnsi="宋体" w:eastAsia="宋体" w:cs="宋体"/>
                <w:i w:val="0"/>
                <w:iCs w:val="0"/>
                <w:color w:val="000000"/>
                <w:kern w:val="0"/>
                <w:sz w:val="21"/>
                <w:szCs w:val="21"/>
                <w:u w:val="none"/>
                <w:lang w:val="en-US" w:eastAsia="zh-CN" w:bidi="ar"/>
              </w:rPr>
              <w:t>.2 各节段心动周期曲线显示，各节段平均心动周期曲线显示，平均节段各个心动周期曲线显示，平均节段平均心动周期曲线显示</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10.7</w:t>
            </w:r>
            <w:r>
              <w:rPr>
                <w:rFonts w:hint="eastAsia" w:ascii="宋体" w:hAnsi="宋体" w:eastAsia="宋体" w:cs="宋体"/>
                <w:i w:val="0"/>
                <w:iCs w:val="0"/>
                <w:color w:val="000000"/>
                <w:kern w:val="0"/>
                <w:sz w:val="21"/>
                <w:szCs w:val="21"/>
                <w:u w:val="none"/>
                <w:lang w:val="en-US" w:eastAsia="zh-CN" w:bidi="ar"/>
              </w:rPr>
              <w:t>.3 心肌运动同步性定量分析，快速显示峰值速度、达峰时间、应变、应变率、位移等多种参数</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10.</w:t>
            </w:r>
            <w:r>
              <w:rPr>
                <w:rFonts w:hint="eastAsia"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血管中内膜厚度自动测量: 要求对感兴趣区域内自动测量，无需手动描计，计算结果为一段距离内的平均值，提高测量的可靠性和可重复性，并可根据血管内中膜厚度不同进行优化设置，脱机数据可输出</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10.9</w:t>
            </w:r>
            <w:r>
              <w:rPr>
                <w:rFonts w:hint="eastAsia" w:ascii="宋体" w:hAnsi="宋体" w:eastAsia="宋体" w:cs="宋体"/>
                <w:i w:val="0"/>
                <w:iCs w:val="0"/>
                <w:color w:val="000000"/>
                <w:kern w:val="0"/>
                <w:sz w:val="21"/>
                <w:szCs w:val="21"/>
                <w:u w:val="none"/>
                <w:lang w:val="en-US" w:eastAsia="zh-CN" w:bidi="ar"/>
              </w:rPr>
              <w:t xml:space="preserve"> 自动心肌运动定量</w:t>
            </w: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10.9</w:t>
            </w:r>
            <w:r>
              <w:rPr>
                <w:rFonts w:hint="eastAsia" w:ascii="宋体" w:hAnsi="宋体" w:eastAsia="宋体" w:cs="宋体"/>
                <w:i w:val="0"/>
                <w:iCs w:val="0"/>
                <w:color w:val="000000"/>
                <w:kern w:val="0"/>
                <w:sz w:val="21"/>
                <w:szCs w:val="21"/>
                <w:u w:val="none"/>
                <w:lang w:val="en-US" w:eastAsia="zh-CN" w:bidi="ar"/>
              </w:rPr>
              <w:t>.1 可根据选择的心脏长轴、短轴切面自动追踪相应节段，不依赖ECG、分析时无需切面顺序，无需手动操作（也可自行编辑感兴趣区），自动生成每个节段的整体长轴峰值应变值、位移曲线、心功能、达峰时间并生成表格，可在机分析内、中、外三层心肌，以17或18节段牛眼图显示，并可显示各种曲线。此外还可计算LVEF、ESV、EDV</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10.9</w:t>
            </w:r>
            <w:r>
              <w:rPr>
                <w:rFonts w:hint="eastAsia" w:ascii="宋体" w:hAnsi="宋体" w:eastAsia="宋体" w:cs="宋体"/>
                <w:i w:val="0"/>
                <w:iCs w:val="0"/>
                <w:color w:val="000000"/>
                <w:kern w:val="0"/>
                <w:sz w:val="21"/>
                <w:szCs w:val="21"/>
                <w:u w:val="none"/>
                <w:lang w:val="en-US" w:eastAsia="zh-CN" w:bidi="ar"/>
              </w:rPr>
              <w:t>.2 自动组织瓣环位移功能可自动对房室瓣环运动进行可视化定量分析，快速评估心脏整体功能</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cs="宋体"/>
                <w:i w:val="0"/>
                <w:iCs w:val="0"/>
                <w:color w:val="000000"/>
                <w:kern w:val="0"/>
                <w:sz w:val="21"/>
                <w:szCs w:val="21"/>
                <w:u w:val="none"/>
                <w:lang w:val="en-US" w:eastAsia="zh-CN" w:bidi="ar"/>
              </w:rPr>
              <w:t>10.9</w:t>
            </w:r>
            <w:r>
              <w:rPr>
                <w:rFonts w:hint="eastAsia" w:ascii="宋体" w:hAnsi="宋体" w:eastAsia="宋体" w:cs="宋体"/>
                <w:i w:val="0"/>
                <w:iCs w:val="0"/>
                <w:color w:val="000000"/>
                <w:kern w:val="0"/>
                <w:sz w:val="21"/>
                <w:szCs w:val="21"/>
                <w:u w:val="none"/>
                <w:lang w:val="en-US" w:eastAsia="zh-CN" w:bidi="ar"/>
              </w:rPr>
              <w:t>.3 可使用存储剪辑分析，可在机、脱机分析心肌的内、中、外三层</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11、图像存储与回放重现及病案管理单元</w:t>
            </w:r>
            <w:r>
              <w:rPr>
                <w:rFonts w:hint="eastAsia" w:ascii="宋体" w:hAnsi="宋体" w:eastAsia="宋体" w:cs="宋体"/>
                <w:i w:val="0"/>
                <w:iCs w:val="0"/>
                <w:color w:val="000000"/>
                <w:kern w:val="0"/>
                <w:sz w:val="21"/>
                <w:szCs w:val="21"/>
                <w:u w:val="none"/>
                <w:lang w:val="en-US" w:eastAsia="zh-CN" w:bidi="ar"/>
              </w:rPr>
              <w:t>11.1 数字化捕捉、回放、存储动、静态图像，实时图像传输，实时 JPEG 解压缩，可进行参数编程调节；</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11.2 硬盘≥1T，DVD／USB图像存储,电影回放重现单元.</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11.3 具备主机硬盘图像数据存储</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11.4 病案管理单元包括病人资料、报告、图像等的存储、修改、检索和打印等</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11.5 可根据检查要求对工作站参数（存储、压缩、回放）进行编程调节；</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12、参考信号：心电</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13、输入和输出信号：</w:t>
            </w:r>
            <w:r>
              <w:rPr>
                <w:rFonts w:hint="eastAsia" w:ascii="宋体" w:hAnsi="宋体" w:eastAsia="宋体" w:cs="宋体"/>
                <w:i w:val="0"/>
                <w:iCs w:val="0"/>
                <w:color w:val="000000"/>
                <w:kern w:val="0"/>
                <w:sz w:val="21"/>
                <w:szCs w:val="21"/>
                <w:u w:val="none"/>
                <w:lang w:val="en-US" w:eastAsia="zh-CN" w:bidi="ar"/>
              </w:rPr>
              <w:t>13.1输入：至少支持DICOM DATA</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13.2输出：至少支持S-视频、DP高清数字化输出</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14、图像管理与记录装置：</w:t>
            </w:r>
            <w:r>
              <w:rPr>
                <w:rFonts w:hint="eastAsia" w:ascii="宋体" w:hAnsi="宋体" w:eastAsia="宋体" w:cs="宋体"/>
                <w:i w:val="0"/>
                <w:iCs w:val="0"/>
                <w:color w:val="000000"/>
                <w:kern w:val="0"/>
                <w:sz w:val="21"/>
                <w:szCs w:val="21"/>
                <w:u w:val="none"/>
                <w:lang w:val="en-US" w:eastAsia="zh-CN" w:bidi="ar"/>
              </w:rPr>
              <w:t>14.1 内置图像管理系统</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14.2 主机内置硬盘≥1T, DVD／USB图像存储,电影回放重现单元；</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14.3 可扩展的存储装置：大容量移动硬盘、DVD-RW、DVR等</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15、连通性</w:t>
            </w:r>
            <w:r>
              <w:rPr>
                <w:rFonts w:hint="eastAsia" w:ascii="宋体" w:hAnsi="宋体" w:eastAsia="宋体" w:cs="宋体"/>
                <w:i w:val="0"/>
                <w:iCs w:val="0"/>
                <w:color w:val="000000"/>
                <w:kern w:val="0"/>
                <w:sz w:val="21"/>
                <w:szCs w:val="21"/>
                <w:u w:val="none"/>
                <w:lang w:val="en-US" w:eastAsia="zh-CN" w:bidi="ar"/>
              </w:rPr>
              <w:t>15.1 医学数字图像和通信协议，DICOM 3.0 版接口部件</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15.2 支持DICOM 3D打印</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1、系统通用功能</w:t>
            </w:r>
            <w:r>
              <w:rPr>
                <w:rFonts w:hint="eastAsia" w:ascii="宋体" w:hAnsi="宋体" w:eastAsia="宋体" w:cs="宋体"/>
                <w:i w:val="0"/>
                <w:iCs w:val="0"/>
                <w:color w:val="000000"/>
                <w:kern w:val="0"/>
                <w:sz w:val="21"/>
                <w:szCs w:val="21"/>
                <w:u w:val="none"/>
                <w:lang w:val="en-US" w:eastAsia="zh-CN" w:bidi="ar"/>
              </w:rPr>
              <w:t>1.1 监视器: 高分辨率液晶显示器≥21英寸, 分辨率1920×1080,无闪烁，不间断逐行扫描，可上下左右任意旋转，可前后折叠。</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1.2 操作面板具备液晶触摸屏≥11英寸,可通过手指滑动触摸屏进行翻页，直接点击触摸屏即可选择需要调节的参数，操作面板可上下左右进行高度调整及旋转</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1.3 标准成像探头接口≥4个，无针式微型接口，可通用</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1.4 功能分区控制面板，可升降、旋转、前后左右平移, 电子锁定</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2、探头规格</w:t>
            </w:r>
            <w:r>
              <w:rPr>
                <w:rFonts w:hint="eastAsia" w:ascii="宋体" w:hAnsi="宋体" w:eastAsia="宋体" w:cs="宋体"/>
                <w:i w:val="0"/>
                <w:iCs w:val="0"/>
                <w:color w:val="000000"/>
                <w:kern w:val="0"/>
                <w:sz w:val="21"/>
                <w:szCs w:val="21"/>
                <w:u w:val="none"/>
                <w:lang w:val="en-US" w:eastAsia="zh-CN" w:bidi="ar"/>
              </w:rPr>
              <w:t>2.1 频率:超宽频带探头, 探头频率1 MHz 到18MHz</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2.2 类型:相控阵、凸阵、线阵</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▲2.3 压电晶体材料：相控阵、凸阵、线阵均采用单晶体材料</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3、二维成像主要参数:</w:t>
            </w:r>
            <w:r>
              <w:rPr>
                <w:rFonts w:hint="eastAsia" w:ascii="宋体" w:hAnsi="宋体" w:eastAsia="宋体" w:cs="宋体"/>
                <w:i w:val="0"/>
                <w:iCs w:val="0"/>
                <w:color w:val="000000"/>
                <w:kern w:val="0"/>
                <w:sz w:val="21"/>
                <w:szCs w:val="21"/>
                <w:u w:val="none"/>
                <w:lang w:val="en-US" w:eastAsia="zh-CN" w:bidi="ar"/>
              </w:rPr>
              <w:t>3.1 成人心脏相控阵: 超声频率 1-5MHz</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儿童心脏相控阵：超声频率2－9MH</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浅表电子线阵: 超声频率 3-12MHz</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腹部电子凸阵：超声频率1－5MHz</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浅表高频探头：超声频率4－18MHZ</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 扫描速率: 相控阵,全视野，17cm深度时，帧速率≥60帧/秒</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凸阵,全视野，18cm深度时，帧速率≥45帧/秒</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线阵,全视野，4cm深度时，帧速率≥140帧/秒</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 xml:space="preserve">3.3 扫描深度：最大扫描深度≥39cm </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3.4声束聚焦:发射接收动态连续聚焦</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3.5回放重现及存储:灰阶图像回放≥1000幅，存储时间≥5分钟</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3.6预设条件:针对不同的检查脏器,预置最佳化图像的检查条件,减少操作时的调节,及常用所需的外部调节及组合调节，每个探头可提供预设置≥40个</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3.7增益调节:2D/Color/Doppler可独立调节, TGC分段≥8， LGC分段≥4</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4、频率多普勒</w:t>
            </w:r>
            <w:r>
              <w:rPr>
                <w:rFonts w:hint="eastAsia" w:ascii="宋体" w:hAnsi="宋体" w:eastAsia="宋体" w:cs="宋体"/>
                <w:i w:val="0"/>
                <w:iCs w:val="0"/>
                <w:color w:val="000000"/>
                <w:kern w:val="0"/>
                <w:sz w:val="21"/>
                <w:szCs w:val="21"/>
                <w:u w:val="none"/>
                <w:lang w:val="en-US" w:eastAsia="zh-CN" w:bidi="ar"/>
              </w:rPr>
              <w:t>4.1脉冲波多普勒PW，连续波多普勒CW，高脉冲重复频率HPRF</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4.2多普勒探头与频率: PW，CW</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 xml:space="preserve">4.3最大测量速度:PW，1.6MHz，0°时，血流速度最大≥8m/s; CW，1.8MHz，0°时血流速度最大≥25m/s </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4.4最低测量速度1mm/s (非噪声信号)</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4.5显示方式:B/D、B/C/D、D</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4.6电影回放:≥950帧</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4.7零位移动: ≥6级</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r>
              <w:rPr>
                <w:rFonts w:hint="eastAsia" w:ascii="宋体" w:hAnsi="宋体" w:eastAsia="宋体" w:cs="宋体"/>
                <w:i w:val="0"/>
                <w:iCs w:val="0"/>
                <w:color w:val="000000"/>
                <w:kern w:val="0"/>
                <w:sz w:val="21"/>
                <w:szCs w:val="21"/>
                <w:u w:val="none"/>
                <w:lang w:val="en-US" w:eastAsia="zh-CN" w:bidi="ar"/>
              </w:rPr>
              <w:t>▲</w:t>
            </w: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▲4.8取样宽度及位置范围:宽度0.5-20mm; 分级</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4.9滤波器:高通滤波或低通滤波两种,分级选择:PW高通≥10级,低通≥5级;CW高通≥8级,低通≥5级</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4.10显示控制:反转显示(左/右,上/下),零移位, D扩展, B/D扩展,局放及移位</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5、彩色多普勒</w:t>
            </w:r>
            <w:r>
              <w:rPr>
                <w:rFonts w:hint="eastAsia" w:ascii="宋体" w:hAnsi="宋体" w:eastAsia="宋体" w:cs="宋体"/>
                <w:i w:val="0"/>
                <w:iCs w:val="0"/>
                <w:color w:val="000000"/>
                <w:kern w:val="0"/>
                <w:sz w:val="21"/>
                <w:szCs w:val="21"/>
                <w:u w:val="none"/>
                <w:lang w:val="en-US" w:eastAsia="zh-CN" w:bidi="ar"/>
              </w:rPr>
              <w:t>5.1显示方式: 至少支持速度方差显示、能量显示、速度显示、方差显示;</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5.2二维图像/频谱多普勒/彩色血流成像三同步显示</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5.3彩色显示角度: 20-90°选择</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5.4彩色显示帧数: 85°, 18cm深,帧频≥9帧/秒</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5.5组织多普勒帧频：85°，18cm深，帧频≥100帧/秒</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5.6显示位置调整:感兴趣的图像范围:-20°-+20°</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5.7显示控制:零位移动分+15级,黑/白与彩色比较,彩色对比</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5.8彩色增强功能:彩色多普勒能量图(CDE/CPI);组织多普勒(TDI)</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6、超声图像及病案管理系统</w:t>
            </w:r>
            <w:r>
              <w:rPr>
                <w:rFonts w:hint="eastAsia" w:ascii="宋体" w:hAnsi="宋体" w:eastAsia="宋体" w:cs="宋体"/>
                <w:i w:val="0"/>
                <w:iCs w:val="0"/>
                <w:color w:val="000000"/>
                <w:kern w:val="0"/>
                <w:sz w:val="21"/>
                <w:szCs w:val="21"/>
                <w:u w:val="none"/>
                <w:lang w:val="en-US" w:eastAsia="zh-CN" w:bidi="ar"/>
              </w:rPr>
              <w:t>6.1动态图像采集,存储, 一次连续采集≥95幅</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6.2同屏电影回放≥3画面,可调回放速度</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6.3存储图像及文档:≥1TB硬盘</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6.4支持报告存储，检索,统计</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6.5图像存储时可隐去病案信息进行存储。</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7、超声功率输出调节: B/M,PW,CDFI,输出功率选择≥7级可调</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主机系统一套</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全身临床应用软件包一套</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心肌造影应用软件包一套</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二维先进定量软件包一套</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bookmarkStart w:id="0" w:name="_GoBack"/>
            <w:bookmarkEnd w:id="0"/>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成人心脏相控阵探头一把</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成人腹部凸阵探头一把</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儿童心脏相控阵探头一把</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线阵血管探头一把</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线阵高频探头一把</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numPr>
                <w:ilvl w:val="0"/>
                <w:numId w:val="1"/>
              </w:numPr>
              <w:snapToGrid w:val="0"/>
              <w:jc w:val="center"/>
              <w:rPr>
                <w:sz w:val="20"/>
                <w:szCs w:val="20"/>
              </w:rPr>
            </w:pPr>
          </w:p>
        </w:tc>
        <w:tc>
          <w:tcPr>
            <w:tcW w:w="1221" w:type="dxa"/>
            <w:vAlign w:val="center"/>
          </w:tcPr>
          <w:p>
            <w:pPr>
              <w:snapToGrid w:val="0"/>
              <w:jc w:val="center"/>
              <w:rPr>
                <w:rFonts w:hint="eastAsia"/>
                <w:sz w:val="20"/>
                <w:szCs w:val="20"/>
                <w:lang w:val="en-US" w:eastAsia="zh-CN"/>
              </w:rPr>
            </w:pPr>
            <w:r>
              <w:rPr>
                <w:rFonts w:hint="eastAsia"/>
                <w:sz w:val="20"/>
                <w:szCs w:val="20"/>
                <w:lang w:val="en-US" w:eastAsia="zh-CN"/>
              </w:rPr>
              <w:t>高档心脏彩色多普勒超声诊断仪</w:t>
            </w:r>
          </w:p>
        </w:tc>
        <w:tc>
          <w:tcPr>
            <w:tcW w:w="889" w:type="dxa"/>
            <w:vAlign w:val="center"/>
          </w:tcPr>
          <w:p>
            <w:pPr>
              <w:snapToGrid w:val="0"/>
              <w:jc w:val="center"/>
              <w:rPr>
                <w:sz w:val="20"/>
                <w:szCs w:val="20"/>
              </w:rPr>
            </w:pPr>
          </w:p>
        </w:tc>
        <w:tc>
          <w:tcPr>
            <w:tcW w:w="211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1"/>
                <w:szCs w:val="21"/>
                <w:u w:val="none"/>
                <w:lang w:val="en-US" w:eastAsia="zh-CN" w:bidi="ar"/>
              </w:rPr>
              <w:t>耦合剂加热器一个</w:t>
            </w:r>
          </w:p>
        </w:tc>
        <w:tc>
          <w:tcPr>
            <w:tcW w:w="1583"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055" w:type="dxa"/>
            <w:vAlign w:val="center"/>
          </w:tcPr>
          <w:p>
            <w:pPr>
              <w:snapToGrid w:val="0"/>
              <w:jc w:val="center"/>
              <w:rPr>
                <w:sz w:val="20"/>
                <w:szCs w:val="20"/>
              </w:rPr>
            </w:pPr>
          </w:p>
        </w:tc>
        <w:tc>
          <w:tcPr>
            <w:tcW w:w="1252" w:type="dxa"/>
            <w:vAlign w:val="center"/>
          </w:tcPr>
          <w:p>
            <w:pPr>
              <w:snapToGrid w:val="0"/>
              <w:jc w:val="center"/>
              <w:rPr>
                <w:sz w:val="20"/>
                <w:szCs w:val="20"/>
              </w:rPr>
            </w:pPr>
          </w:p>
        </w:tc>
        <w:tc>
          <w:tcPr>
            <w:tcW w:w="853" w:type="dxa"/>
            <w:vAlign w:val="center"/>
          </w:tcPr>
          <w:p>
            <w:pPr>
              <w:snapToGrid w:val="0"/>
              <w:jc w:val="center"/>
              <w:rPr>
                <w:sz w:val="20"/>
                <w:szCs w:val="20"/>
              </w:rPr>
            </w:pPr>
          </w:p>
        </w:tc>
      </w:tr>
    </w:tbl>
    <w:p>
      <w:pPr>
        <w:pStyle w:val="5"/>
        <w:spacing w:before="122"/>
        <w:ind w:left="490"/>
        <w:rPr>
          <w:sz w:val="20"/>
          <w:szCs w:val="20"/>
        </w:rPr>
      </w:pPr>
      <w:r>
        <w:rPr>
          <w:sz w:val="20"/>
          <w:szCs w:val="20"/>
        </w:rPr>
        <w:t>说明：</w:t>
      </w:r>
    </w:p>
    <w:p>
      <w:pPr>
        <w:pStyle w:val="5"/>
        <w:snapToGrid w:val="0"/>
        <w:spacing w:line="360" w:lineRule="auto"/>
        <w:ind w:left="106" w:right="149" w:firstLine="384"/>
        <w:rPr>
          <w:sz w:val="20"/>
          <w:szCs w:val="20"/>
        </w:rPr>
      </w:pPr>
      <w:r>
        <w:rPr>
          <w:rFonts w:hint="eastAsia"/>
          <w:sz w:val="20"/>
          <w:szCs w:val="20"/>
          <w:lang w:val="en-US"/>
        </w:rPr>
        <w:t>1.</w:t>
      </w:r>
      <w:r>
        <w:rPr>
          <w:rFonts w:hint="eastAsia"/>
          <w:sz w:val="20"/>
          <w:szCs w:val="20"/>
        </w:rPr>
        <w:t>“</w:t>
      </w:r>
      <w:r>
        <w:rPr>
          <w:sz w:val="20"/>
          <w:szCs w:val="20"/>
        </w:rPr>
        <w:t>采购文件规定的技术和服务要求</w:t>
      </w:r>
      <w:r>
        <w:rPr>
          <w:rFonts w:hint="eastAsia"/>
          <w:sz w:val="20"/>
          <w:szCs w:val="20"/>
        </w:rPr>
        <w:t>”</w:t>
      </w:r>
      <w:r>
        <w:rPr>
          <w:sz w:val="20"/>
          <w:szCs w:val="20"/>
        </w:rPr>
        <w:t>项下填写的内容应与招标文件中采购需求的</w:t>
      </w:r>
      <w:r>
        <w:rPr>
          <w:rFonts w:hint="eastAsia"/>
          <w:sz w:val="20"/>
          <w:szCs w:val="20"/>
        </w:rPr>
        <w:t>“</w:t>
      </w:r>
      <w:r>
        <w:rPr>
          <w:sz w:val="20"/>
          <w:szCs w:val="20"/>
        </w:rPr>
        <w:t>技术要求</w:t>
      </w:r>
      <w:r>
        <w:rPr>
          <w:rFonts w:hint="eastAsia"/>
          <w:sz w:val="20"/>
          <w:szCs w:val="20"/>
        </w:rPr>
        <w:t>”</w:t>
      </w:r>
      <w:r>
        <w:rPr>
          <w:sz w:val="20"/>
          <w:szCs w:val="20"/>
        </w:rPr>
        <w:t>的内容保持一致。投标人应当如实填写上表</w:t>
      </w:r>
      <w:r>
        <w:rPr>
          <w:rFonts w:hint="eastAsia"/>
          <w:sz w:val="20"/>
          <w:szCs w:val="20"/>
        </w:rPr>
        <w:t>“</w:t>
      </w:r>
      <w:r>
        <w:rPr>
          <w:sz w:val="20"/>
          <w:szCs w:val="20"/>
        </w:rPr>
        <w:t>投标文件响应的具体内容</w:t>
      </w:r>
      <w:r>
        <w:rPr>
          <w:rFonts w:hint="eastAsia"/>
          <w:sz w:val="20"/>
          <w:szCs w:val="20"/>
        </w:rPr>
        <w:t>”</w:t>
      </w:r>
      <w:r>
        <w:rPr>
          <w:sz w:val="20"/>
          <w:szCs w:val="20"/>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5"/>
        <w:snapToGrid w:val="0"/>
        <w:spacing w:line="360" w:lineRule="auto"/>
        <w:ind w:left="106" w:right="149" w:firstLine="384"/>
        <w:rPr>
          <w:sz w:val="20"/>
          <w:szCs w:val="20"/>
        </w:rPr>
      </w:pPr>
      <w:r>
        <w:rPr>
          <w:rFonts w:hint="eastAsia"/>
          <w:sz w:val="20"/>
          <w:szCs w:val="20"/>
        </w:rPr>
        <w:t>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5"/>
        <w:snapToGrid w:val="0"/>
        <w:spacing w:line="360" w:lineRule="auto"/>
        <w:ind w:left="106" w:right="149" w:firstLine="384"/>
        <w:rPr>
          <w:sz w:val="20"/>
          <w:szCs w:val="20"/>
        </w:rPr>
      </w:pPr>
      <w:r>
        <w:rPr>
          <w:rFonts w:hint="eastAsia"/>
          <w:sz w:val="20"/>
          <w:szCs w:val="20"/>
          <w:lang w:val="en-US"/>
        </w:rPr>
        <w:t>3.</w:t>
      </w:r>
      <w:r>
        <w:rPr>
          <w:rFonts w:hint="eastAsia"/>
          <w:sz w:val="20"/>
          <w:szCs w:val="20"/>
        </w:rPr>
        <w:t>“是否偏离”项下应按下列规定填写：优于的，填写“正偏离”；符合的，填写“无偏离”；低于的，填写“负偏离”。</w:t>
      </w:r>
    </w:p>
    <w:p>
      <w:pPr>
        <w:pStyle w:val="5"/>
        <w:snapToGrid w:val="0"/>
        <w:spacing w:line="360" w:lineRule="auto"/>
        <w:ind w:left="534" w:leftChars="220" w:right="149" w:hanging="50" w:hangingChars="25"/>
        <w:rPr>
          <w:sz w:val="20"/>
          <w:szCs w:val="20"/>
          <w:lang w:val="en-US"/>
        </w:rPr>
      </w:pPr>
      <w:r>
        <w:rPr>
          <w:rFonts w:hint="eastAsia"/>
          <w:sz w:val="20"/>
          <w:szCs w:val="20"/>
          <w:lang w:val="en-US"/>
        </w:rPr>
        <w:t>4.“备注”处可填写偏离情况的说明。</w:t>
      </w:r>
    </w:p>
    <w:p>
      <w:pPr>
        <w:pStyle w:val="5"/>
        <w:snapToGrid w:val="0"/>
        <w:spacing w:line="360" w:lineRule="auto"/>
        <w:ind w:left="106" w:right="149" w:firstLine="384"/>
        <w:rPr>
          <w:sz w:val="20"/>
          <w:szCs w:val="20"/>
          <w:lang w:val="en-US"/>
        </w:rPr>
        <w:sectPr>
          <w:type w:val="continuous"/>
          <w:pgSz w:w="11900" w:h="16840"/>
          <w:pgMar w:top="1260" w:right="520" w:bottom="200" w:left="560" w:header="720" w:footer="720" w:gutter="0"/>
          <w:cols w:space="720" w:num="1"/>
        </w:sectPr>
      </w:pPr>
    </w:p>
    <w:p>
      <w:pPr>
        <w:snapToGrid w:val="0"/>
        <w:spacing w:line="360" w:lineRule="auto"/>
        <w:ind w:left="102"/>
        <w:jc w:val="center"/>
        <w:rPr>
          <w:b/>
          <w:sz w:val="20"/>
          <w:szCs w:val="20"/>
        </w:rPr>
      </w:pPr>
      <w:r>
        <w:rPr>
          <w:b/>
          <w:sz w:val="20"/>
          <w:szCs w:val="20"/>
        </w:rPr>
        <w:t>《商务条件响应表》</w:t>
      </w:r>
    </w:p>
    <w:tbl>
      <w:tblPr>
        <w:tblStyle w:val="11"/>
        <w:tblW w:w="0" w:type="auto"/>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994"/>
        <w:gridCol w:w="3110"/>
        <w:gridCol w:w="1720"/>
        <w:gridCol w:w="1290"/>
        <w:gridCol w:w="141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F1F1F1" w:themeFill="background1" w:themeFillShade="F2"/>
            <w:vAlign w:val="center"/>
          </w:tcPr>
          <w:p>
            <w:pPr>
              <w:pStyle w:val="5"/>
              <w:snapToGrid w:val="0"/>
              <w:ind w:right="149"/>
              <w:jc w:val="center"/>
              <w:rPr>
                <w:sz w:val="20"/>
                <w:szCs w:val="20"/>
                <w:lang w:val="en-US"/>
              </w:rPr>
            </w:pPr>
            <w:r>
              <w:rPr>
                <w:rFonts w:hint="eastAsia"/>
                <w:sz w:val="20"/>
                <w:szCs w:val="20"/>
                <w:lang w:val="en-US"/>
              </w:rPr>
              <w:t>序号</w:t>
            </w:r>
          </w:p>
        </w:tc>
        <w:tc>
          <w:tcPr>
            <w:tcW w:w="994" w:type="dxa"/>
            <w:shd w:val="clear" w:color="auto" w:fill="F1F1F1" w:themeFill="background1" w:themeFillShade="F2"/>
            <w:vAlign w:val="center"/>
          </w:tcPr>
          <w:p>
            <w:pPr>
              <w:pStyle w:val="5"/>
              <w:snapToGrid w:val="0"/>
              <w:ind w:right="-76"/>
              <w:jc w:val="center"/>
              <w:rPr>
                <w:sz w:val="20"/>
                <w:szCs w:val="20"/>
                <w:lang w:val="en-US"/>
              </w:rPr>
            </w:pPr>
            <w:r>
              <w:rPr>
                <w:rFonts w:hint="eastAsia"/>
                <w:sz w:val="20"/>
                <w:szCs w:val="20"/>
                <w:lang w:val="en-US"/>
              </w:rPr>
              <w:t>参数性质</w:t>
            </w:r>
          </w:p>
        </w:tc>
        <w:tc>
          <w:tcPr>
            <w:tcW w:w="3110" w:type="dxa"/>
            <w:shd w:val="clear" w:color="auto" w:fill="F1F1F1" w:themeFill="background1" w:themeFillShade="F2"/>
            <w:vAlign w:val="center"/>
          </w:tcPr>
          <w:p>
            <w:pPr>
              <w:pStyle w:val="5"/>
              <w:snapToGrid w:val="0"/>
              <w:ind w:right="149"/>
              <w:jc w:val="center"/>
              <w:rPr>
                <w:sz w:val="20"/>
                <w:szCs w:val="20"/>
                <w:lang w:val="en-US"/>
              </w:rPr>
            </w:pPr>
            <w:r>
              <w:rPr>
                <w:rFonts w:hint="eastAsia"/>
                <w:sz w:val="20"/>
                <w:szCs w:val="20"/>
                <w:lang w:val="en-US"/>
              </w:rPr>
              <w:t>采购文件规定的商务条件</w:t>
            </w:r>
          </w:p>
        </w:tc>
        <w:tc>
          <w:tcPr>
            <w:tcW w:w="1720" w:type="dxa"/>
            <w:shd w:val="clear" w:color="auto" w:fill="F1F1F1" w:themeFill="background1" w:themeFillShade="F2"/>
            <w:vAlign w:val="center"/>
          </w:tcPr>
          <w:p>
            <w:pPr>
              <w:pStyle w:val="5"/>
              <w:snapToGrid w:val="0"/>
              <w:ind w:right="149"/>
              <w:jc w:val="center"/>
              <w:rPr>
                <w:sz w:val="20"/>
                <w:szCs w:val="20"/>
                <w:lang w:val="en-US"/>
              </w:rPr>
            </w:pPr>
            <w:r>
              <w:rPr>
                <w:rFonts w:hint="eastAsia"/>
                <w:sz w:val="20"/>
                <w:szCs w:val="20"/>
                <w:lang w:val="en-US"/>
              </w:rPr>
              <w:t>投标文件响应的具体内容</w:t>
            </w:r>
          </w:p>
        </w:tc>
        <w:tc>
          <w:tcPr>
            <w:tcW w:w="1290" w:type="dxa"/>
            <w:shd w:val="clear" w:color="auto" w:fill="F1F1F1" w:themeFill="background1" w:themeFillShade="F2"/>
            <w:vAlign w:val="center"/>
          </w:tcPr>
          <w:p>
            <w:pPr>
              <w:pStyle w:val="5"/>
              <w:snapToGrid w:val="0"/>
              <w:ind w:right="149"/>
              <w:jc w:val="center"/>
              <w:rPr>
                <w:sz w:val="20"/>
                <w:szCs w:val="20"/>
                <w:lang w:val="en-US"/>
              </w:rPr>
            </w:pPr>
            <w:r>
              <w:rPr>
                <w:rFonts w:hint="eastAsia"/>
                <w:sz w:val="20"/>
                <w:szCs w:val="20"/>
                <w:lang w:val="en-US"/>
              </w:rPr>
              <w:t>是否偏离</w:t>
            </w:r>
          </w:p>
        </w:tc>
        <w:tc>
          <w:tcPr>
            <w:tcW w:w="1410" w:type="dxa"/>
            <w:shd w:val="clear" w:color="auto" w:fill="F1F1F1" w:themeFill="background1" w:themeFillShade="F2"/>
            <w:vAlign w:val="center"/>
          </w:tcPr>
          <w:p>
            <w:pPr>
              <w:pStyle w:val="5"/>
              <w:snapToGrid w:val="0"/>
              <w:ind w:right="149"/>
              <w:jc w:val="center"/>
              <w:rPr>
                <w:sz w:val="20"/>
                <w:szCs w:val="20"/>
                <w:lang w:val="en-US"/>
              </w:rPr>
            </w:pPr>
            <w:r>
              <w:rPr>
                <w:rFonts w:hint="eastAsia"/>
                <w:sz w:val="20"/>
                <w:szCs w:val="20"/>
                <w:lang w:val="en-US"/>
              </w:rPr>
              <w:t>证明文件所在位置</w:t>
            </w:r>
          </w:p>
        </w:tc>
        <w:tc>
          <w:tcPr>
            <w:tcW w:w="1008" w:type="dxa"/>
            <w:shd w:val="clear" w:color="auto" w:fill="F1F1F1" w:themeFill="background1" w:themeFillShade="F2"/>
            <w:vAlign w:val="center"/>
          </w:tcPr>
          <w:p>
            <w:pPr>
              <w:pStyle w:val="5"/>
              <w:snapToGrid w:val="0"/>
              <w:ind w:right="149"/>
              <w:jc w:val="center"/>
              <w:rPr>
                <w:sz w:val="20"/>
                <w:szCs w:val="20"/>
                <w:lang w:val="en-US"/>
              </w:rPr>
            </w:pPr>
            <w:r>
              <w:rPr>
                <w:rFonts w:hint="eastAsia"/>
                <w:sz w:val="20"/>
                <w:szCs w:val="20"/>
                <w:lang w:val="en-US"/>
              </w:rPr>
              <w:t>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5"/>
              <w:numPr>
                <w:ilvl w:val="0"/>
                <w:numId w:val="2"/>
              </w:numPr>
              <w:snapToGrid w:val="0"/>
              <w:ind w:right="149"/>
              <w:rPr>
                <w:sz w:val="20"/>
                <w:szCs w:val="20"/>
                <w:lang w:val="en-US"/>
              </w:rPr>
            </w:pPr>
          </w:p>
        </w:tc>
        <w:tc>
          <w:tcPr>
            <w:tcW w:w="994" w:type="dxa"/>
          </w:tcPr>
          <w:p>
            <w:pPr>
              <w:pStyle w:val="5"/>
              <w:snapToGrid w:val="0"/>
              <w:ind w:right="149"/>
              <w:rPr>
                <w:sz w:val="20"/>
                <w:szCs w:val="20"/>
                <w:lang w:val="en-US"/>
              </w:rPr>
            </w:pPr>
          </w:p>
        </w:tc>
        <w:tc>
          <w:tcPr>
            <w:tcW w:w="3110" w:type="dxa"/>
          </w:tcPr>
          <w:p>
            <w:pPr>
              <w:pStyle w:val="5"/>
              <w:snapToGrid w:val="0"/>
              <w:ind w:right="149"/>
              <w:rPr>
                <w:rFonts w:hint="eastAsia"/>
                <w:sz w:val="20"/>
                <w:szCs w:val="20"/>
                <w:lang w:val="en-US"/>
              </w:rPr>
            </w:pPr>
            <w:r>
              <w:rPr>
                <w:rFonts w:hint="eastAsia"/>
                <w:sz w:val="20"/>
                <w:szCs w:val="20"/>
                <w:lang w:val="en-US"/>
              </w:rPr>
              <w:t>（一）报价要求</w:t>
            </w:r>
          </w:p>
          <w:p>
            <w:pPr>
              <w:pStyle w:val="5"/>
              <w:snapToGrid w:val="0"/>
              <w:ind w:right="149"/>
              <w:rPr>
                <w:rFonts w:hint="eastAsia"/>
                <w:sz w:val="20"/>
                <w:szCs w:val="20"/>
                <w:lang w:val="en-US"/>
              </w:rPr>
            </w:pPr>
            <w:r>
              <w:rPr>
                <w:rFonts w:hint="eastAsia"/>
                <w:sz w:val="20"/>
                <w:szCs w:val="20"/>
                <w:lang w:val="en-US"/>
              </w:rPr>
              <w:t>1、本项目的报价和结算支付均以人民币为货币单位。</w:t>
            </w:r>
          </w:p>
          <w:p>
            <w:pPr>
              <w:pStyle w:val="5"/>
              <w:snapToGrid w:val="0"/>
              <w:ind w:right="149"/>
              <w:rPr>
                <w:rFonts w:hint="eastAsia"/>
                <w:sz w:val="20"/>
                <w:szCs w:val="20"/>
                <w:lang w:val="en-US"/>
              </w:rPr>
            </w:pPr>
            <w:r>
              <w:rPr>
                <w:rFonts w:hint="eastAsia"/>
                <w:sz w:val="20"/>
                <w:szCs w:val="20"/>
                <w:lang w:val="en-US"/>
              </w:rPr>
              <w:t>2、本项目的最高限价为人民币2388000.00元，投标人的投标报价不得高于最高限价，否则作为无效投标处理。</w:t>
            </w:r>
          </w:p>
          <w:p>
            <w:pPr>
              <w:pStyle w:val="5"/>
              <w:snapToGrid w:val="0"/>
              <w:ind w:right="149"/>
              <w:rPr>
                <w:rFonts w:hint="eastAsia"/>
                <w:sz w:val="20"/>
                <w:szCs w:val="20"/>
                <w:lang w:val="en-US"/>
              </w:rPr>
            </w:pPr>
            <w:r>
              <w:rPr>
                <w:rFonts w:hint="eastAsia"/>
                <w:sz w:val="20"/>
                <w:szCs w:val="20"/>
                <w:lang w:val="en-US"/>
              </w:rPr>
              <w:t>3、投标人报价应包含但不限于产品供货、备件备品费、相关附件、专用工具费、材料费、运输费、装卸费、安装费、调试费、验收费、保险费、售后服务费、税费、人工费、技术培训服务费、验收要求所需的相关试验及检测费用、质量保证期内的包修包换的费用、合同实施过程中应预见及不可预见费等完成本项目内容所需的一切费用。</w:t>
            </w:r>
          </w:p>
          <w:p>
            <w:pPr>
              <w:pStyle w:val="5"/>
              <w:snapToGrid w:val="0"/>
              <w:ind w:right="149"/>
              <w:rPr>
                <w:sz w:val="20"/>
                <w:szCs w:val="20"/>
                <w:lang w:val="en-US"/>
              </w:rPr>
            </w:pPr>
            <w:r>
              <w:rPr>
                <w:rFonts w:hint="eastAsia"/>
                <w:sz w:val="20"/>
                <w:szCs w:val="20"/>
                <w:lang w:val="en-US"/>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720" w:type="dxa"/>
          </w:tcPr>
          <w:p>
            <w:pPr>
              <w:pStyle w:val="5"/>
              <w:snapToGrid w:val="0"/>
              <w:ind w:right="149"/>
              <w:rPr>
                <w:sz w:val="20"/>
                <w:szCs w:val="20"/>
                <w:lang w:val="en-US"/>
              </w:rPr>
            </w:pPr>
          </w:p>
        </w:tc>
        <w:tc>
          <w:tcPr>
            <w:tcW w:w="1290" w:type="dxa"/>
          </w:tcPr>
          <w:p>
            <w:pPr>
              <w:pStyle w:val="5"/>
              <w:snapToGrid w:val="0"/>
              <w:ind w:right="149"/>
              <w:rPr>
                <w:sz w:val="20"/>
                <w:szCs w:val="20"/>
                <w:lang w:val="en-US"/>
              </w:rPr>
            </w:pPr>
          </w:p>
        </w:tc>
        <w:tc>
          <w:tcPr>
            <w:tcW w:w="1410" w:type="dxa"/>
          </w:tcPr>
          <w:p>
            <w:pPr>
              <w:pStyle w:val="5"/>
              <w:snapToGrid w:val="0"/>
              <w:ind w:right="149"/>
              <w:rPr>
                <w:sz w:val="20"/>
                <w:szCs w:val="20"/>
                <w:lang w:val="en-US"/>
              </w:rPr>
            </w:pPr>
          </w:p>
        </w:tc>
        <w:tc>
          <w:tcPr>
            <w:tcW w:w="1008" w:type="dxa"/>
          </w:tcPr>
          <w:p>
            <w:pPr>
              <w:pStyle w:val="5"/>
              <w:snapToGrid w:val="0"/>
              <w:ind w:right="149"/>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5"/>
              <w:numPr>
                <w:ilvl w:val="0"/>
                <w:numId w:val="2"/>
              </w:numPr>
              <w:snapToGrid w:val="0"/>
              <w:ind w:right="149"/>
              <w:rPr>
                <w:sz w:val="20"/>
                <w:szCs w:val="20"/>
                <w:lang w:val="en-US"/>
              </w:rPr>
            </w:pPr>
          </w:p>
        </w:tc>
        <w:tc>
          <w:tcPr>
            <w:tcW w:w="994" w:type="dxa"/>
          </w:tcPr>
          <w:p>
            <w:pPr>
              <w:pStyle w:val="5"/>
              <w:snapToGrid w:val="0"/>
              <w:ind w:right="149"/>
              <w:rPr>
                <w:sz w:val="20"/>
                <w:szCs w:val="20"/>
                <w:lang w:val="en-US"/>
              </w:rPr>
            </w:pPr>
          </w:p>
        </w:tc>
        <w:tc>
          <w:tcPr>
            <w:tcW w:w="3110" w:type="dxa"/>
          </w:tcPr>
          <w:p>
            <w:pPr>
              <w:pStyle w:val="5"/>
              <w:snapToGrid w:val="0"/>
              <w:ind w:right="149"/>
              <w:rPr>
                <w:rFonts w:hint="eastAsia"/>
                <w:sz w:val="20"/>
                <w:szCs w:val="20"/>
                <w:lang w:val="en-US"/>
              </w:rPr>
            </w:pPr>
            <w:r>
              <w:rPr>
                <w:rFonts w:hint="eastAsia"/>
                <w:sz w:val="20"/>
                <w:szCs w:val="20"/>
                <w:lang w:val="en-US"/>
              </w:rPr>
              <w:t>（二）质保期及售后服务要求</w:t>
            </w:r>
          </w:p>
          <w:p>
            <w:pPr>
              <w:pStyle w:val="5"/>
              <w:snapToGrid w:val="0"/>
              <w:ind w:right="149"/>
              <w:rPr>
                <w:rFonts w:hint="eastAsia"/>
                <w:sz w:val="20"/>
                <w:szCs w:val="20"/>
                <w:lang w:val="en-US"/>
              </w:rPr>
            </w:pPr>
            <w:r>
              <w:rPr>
                <w:rFonts w:hint="eastAsia"/>
                <w:sz w:val="20"/>
                <w:szCs w:val="20"/>
                <w:lang w:val="en-US"/>
              </w:rPr>
              <w:t>1、免费保修期限（质保期）为2年，质保期内中标人对所供货物实行包修、包换、包退、包维护保养。</w:t>
            </w:r>
          </w:p>
          <w:p>
            <w:pPr>
              <w:pStyle w:val="5"/>
              <w:snapToGrid w:val="0"/>
              <w:ind w:right="149"/>
              <w:rPr>
                <w:rFonts w:hint="eastAsia"/>
                <w:sz w:val="20"/>
                <w:szCs w:val="20"/>
                <w:lang w:val="en-US"/>
              </w:rPr>
            </w:pPr>
            <w:r>
              <w:rPr>
                <w:rFonts w:hint="eastAsia"/>
                <w:sz w:val="20"/>
                <w:szCs w:val="20"/>
                <w:lang w:val="en-US"/>
              </w:rPr>
              <w:t>2、质保期内，如设备或零部件因非人为因素出现故障而造成短期停用时，则质保期和免费维修期相应顺延。如停用时间累计超过60天则质保期重新计算。</w:t>
            </w:r>
          </w:p>
          <w:p>
            <w:pPr>
              <w:pStyle w:val="5"/>
              <w:snapToGrid w:val="0"/>
              <w:ind w:right="149"/>
              <w:rPr>
                <w:rFonts w:hint="eastAsia"/>
                <w:sz w:val="20"/>
                <w:szCs w:val="20"/>
                <w:lang w:val="en-US"/>
              </w:rPr>
            </w:pPr>
            <w:r>
              <w:rPr>
                <w:rFonts w:hint="eastAsia"/>
                <w:sz w:val="20"/>
                <w:szCs w:val="20"/>
                <w:lang w:val="en-US"/>
              </w:rPr>
              <w:t>3、对采购人的服务通知，中标人在接报后1小时内响应，4小时内到达现场，48小时内处理完毕。若在48小时内仍未能有效解决，中标人须免费提供相同型号的备用机予采购人临时使用。</w:t>
            </w:r>
          </w:p>
          <w:p>
            <w:pPr>
              <w:pStyle w:val="5"/>
              <w:snapToGrid w:val="0"/>
              <w:ind w:right="149"/>
              <w:rPr>
                <w:rFonts w:hint="eastAsia"/>
                <w:sz w:val="20"/>
                <w:szCs w:val="20"/>
                <w:lang w:val="en-US"/>
              </w:rPr>
            </w:pPr>
            <w:r>
              <w:rPr>
                <w:rFonts w:hint="eastAsia"/>
                <w:sz w:val="20"/>
                <w:szCs w:val="20"/>
                <w:lang w:val="en-US"/>
              </w:rPr>
              <w:t>4、质保期内免费提供现场技术培训、技术咨询、维修和软件升级等服务，保证使用人员正常操作设备的各种功能。</w:t>
            </w:r>
          </w:p>
          <w:p>
            <w:pPr>
              <w:pStyle w:val="5"/>
              <w:snapToGrid w:val="0"/>
              <w:ind w:right="149"/>
              <w:rPr>
                <w:rFonts w:hint="eastAsia"/>
                <w:sz w:val="20"/>
                <w:szCs w:val="20"/>
                <w:lang w:val="en-US"/>
              </w:rPr>
            </w:pPr>
            <w:r>
              <w:rPr>
                <w:rFonts w:hint="eastAsia"/>
                <w:sz w:val="20"/>
                <w:szCs w:val="20"/>
                <w:lang w:val="en-US"/>
              </w:rPr>
              <w:t>5、质保期内每季度对设备免费提供定期保养维护，出具保养维护记录，保养维护内容包括但不限于：机器清洁，性能测试及校准，必要的机械或电气检查，以及非紧急性质的补救性维修。</w:t>
            </w:r>
          </w:p>
          <w:p>
            <w:pPr>
              <w:pStyle w:val="5"/>
              <w:snapToGrid w:val="0"/>
              <w:ind w:right="149"/>
              <w:rPr>
                <w:sz w:val="20"/>
                <w:szCs w:val="20"/>
                <w:lang w:val="en-US"/>
              </w:rPr>
            </w:pPr>
            <w:r>
              <w:rPr>
                <w:rFonts w:hint="eastAsia"/>
                <w:sz w:val="20"/>
                <w:szCs w:val="20"/>
                <w:lang w:val="en-US"/>
              </w:rPr>
              <w:t>6、涉及计量检测设备的，需提供采购人所在地法定专业检定部门出具的检定证书，检定费用由中标人负责。</w:t>
            </w:r>
          </w:p>
        </w:tc>
        <w:tc>
          <w:tcPr>
            <w:tcW w:w="1720" w:type="dxa"/>
          </w:tcPr>
          <w:p>
            <w:pPr>
              <w:pStyle w:val="5"/>
              <w:snapToGrid w:val="0"/>
              <w:ind w:right="149"/>
              <w:rPr>
                <w:sz w:val="20"/>
                <w:szCs w:val="20"/>
                <w:lang w:val="en-US"/>
              </w:rPr>
            </w:pPr>
          </w:p>
        </w:tc>
        <w:tc>
          <w:tcPr>
            <w:tcW w:w="1290" w:type="dxa"/>
          </w:tcPr>
          <w:p>
            <w:pPr>
              <w:pStyle w:val="5"/>
              <w:snapToGrid w:val="0"/>
              <w:ind w:right="149"/>
              <w:rPr>
                <w:sz w:val="20"/>
                <w:szCs w:val="20"/>
                <w:lang w:val="en-US"/>
              </w:rPr>
            </w:pPr>
          </w:p>
        </w:tc>
        <w:tc>
          <w:tcPr>
            <w:tcW w:w="1410" w:type="dxa"/>
          </w:tcPr>
          <w:p>
            <w:pPr>
              <w:pStyle w:val="5"/>
              <w:snapToGrid w:val="0"/>
              <w:ind w:right="149"/>
              <w:rPr>
                <w:sz w:val="20"/>
                <w:szCs w:val="20"/>
                <w:lang w:val="en-US"/>
              </w:rPr>
            </w:pPr>
          </w:p>
        </w:tc>
        <w:tc>
          <w:tcPr>
            <w:tcW w:w="1008" w:type="dxa"/>
          </w:tcPr>
          <w:p>
            <w:pPr>
              <w:pStyle w:val="5"/>
              <w:snapToGrid w:val="0"/>
              <w:ind w:right="149"/>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5"/>
              <w:numPr>
                <w:ilvl w:val="0"/>
                <w:numId w:val="2"/>
              </w:numPr>
              <w:snapToGrid w:val="0"/>
              <w:ind w:right="149"/>
              <w:rPr>
                <w:sz w:val="20"/>
                <w:szCs w:val="20"/>
                <w:lang w:val="en-US"/>
              </w:rPr>
            </w:pPr>
          </w:p>
        </w:tc>
        <w:tc>
          <w:tcPr>
            <w:tcW w:w="994" w:type="dxa"/>
          </w:tcPr>
          <w:p>
            <w:pPr>
              <w:pStyle w:val="5"/>
              <w:snapToGrid w:val="0"/>
              <w:ind w:right="149"/>
              <w:rPr>
                <w:sz w:val="20"/>
                <w:szCs w:val="20"/>
                <w:lang w:val="en-US"/>
              </w:rPr>
            </w:pPr>
          </w:p>
        </w:tc>
        <w:tc>
          <w:tcPr>
            <w:tcW w:w="3110" w:type="dxa"/>
          </w:tcPr>
          <w:p>
            <w:pPr>
              <w:pStyle w:val="5"/>
              <w:snapToGrid w:val="0"/>
              <w:ind w:right="149"/>
              <w:rPr>
                <w:rFonts w:hint="eastAsia"/>
                <w:sz w:val="20"/>
                <w:szCs w:val="20"/>
                <w:lang w:val="en-US"/>
              </w:rPr>
            </w:pPr>
            <w:r>
              <w:rPr>
                <w:rFonts w:hint="eastAsia"/>
                <w:sz w:val="20"/>
                <w:szCs w:val="20"/>
                <w:lang w:val="en-US"/>
              </w:rPr>
              <w:t>（三）包装、保险及发运、保管要求</w:t>
            </w:r>
          </w:p>
          <w:p>
            <w:pPr>
              <w:pStyle w:val="5"/>
              <w:snapToGrid w:val="0"/>
              <w:ind w:right="149"/>
              <w:rPr>
                <w:rFonts w:hint="eastAsia"/>
                <w:sz w:val="20"/>
                <w:szCs w:val="20"/>
                <w:lang w:val="en-US"/>
              </w:rPr>
            </w:pPr>
            <w:r>
              <w:rPr>
                <w:rFonts w:hint="eastAsia"/>
                <w:sz w:val="20"/>
                <w:szCs w:val="20"/>
                <w:lang w:val="en-US"/>
              </w:rPr>
              <w:t>1、设备材料的包装必须是制造商原厂包装，其包装均应有良好的防湿、防锈、防潮、防雨、防腐及防碰撞的措施。凡由于包装不良造成的损失和由此产生的费用均由投标人承担。</w:t>
            </w:r>
          </w:p>
          <w:p>
            <w:pPr>
              <w:pStyle w:val="5"/>
              <w:snapToGrid w:val="0"/>
              <w:ind w:right="149"/>
              <w:rPr>
                <w:rFonts w:hint="eastAsia"/>
                <w:sz w:val="20"/>
                <w:szCs w:val="20"/>
                <w:lang w:val="en-US"/>
              </w:rPr>
            </w:pPr>
            <w:r>
              <w:rPr>
                <w:rFonts w:hint="eastAsia"/>
                <w:sz w:val="20"/>
                <w:szCs w:val="20"/>
                <w:lang w:val="en-US"/>
              </w:rPr>
              <w:t>2、中标人负责将设备材料货到现场过程中的全部运输，包括装卸车、货物现场的搬运。</w:t>
            </w:r>
          </w:p>
          <w:p>
            <w:pPr>
              <w:pStyle w:val="5"/>
              <w:snapToGrid w:val="0"/>
              <w:ind w:right="149"/>
              <w:rPr>
                <w:rFonts w:hint="eastAsia"/>
                <w:sz w:val="20"/>
                <w:szCs w:val="20"/>
                <w:lang w:val="en-US"/>
              </w:rPr>
            </w:pPr>
            <w:r>
              <w:rPr>
                <w:rFonts w:hint="eastAsia"/>
                <w:sz w:val="20"/>
                <w:szCs w:val="20"/>
                <w:lang w:val="en-US"/>
              </w:rPr>
              <w:t>3、各种设备必须提供装箱清单，按装箱清单验收货物。</w:t>
            </w:r>
          </w:p>
          <w:p>
            <w:pPr>
              <w:pStyle w:val="5"/>
              <w:snapToGrid w:val="0"/>
              <w:ind w:right="149"/>
              <w:rPr>
                <w:rFonts w:hint="eastAsia"/>
                <w:sz w:val="20"/>
                <w:szCs w:val="20"/>
                <w:lang w:val="en-US"/>
              </w:rPr>
            </w:pPr>
            <w:r>
              <w:rPr>
                <w:rFonts w:hint="eastAsia"/>
                <w:sz w:val="20"/>
                <w:szCs w:val="20"/>
                <w:lang w:val="en-US"/>
              </w:rPr>
              <w:t>4、货物在现场的保管由中标人负责，直至项目安装、验收完毕。</w:t>
            </w:r>
          </w:p>
          <w:p>
            <w:pPr>
              <w:pStyle w:val="5"/>
              <w:snapToGrid w:val="0"/>
              <w:ind w:right="149"/>
              <w:rPr>
                <w:rFonts w:hint="eastAsia"/>
                <w:sz w:val="20"/>
                <w:szCs w:val="20"/>
                <w:lang w:val="en-US"/>
              </w:rPr>
            </w:pPr>
            <w:r>
              <w:rPr>
                <w:rFonts w:hint="eastAsia"/>
                <w:sz w:val="20"/>
                <w:szCs w:val="20"/>
                <w:lang w:val="en-US"/>
              </w:rPr>
              <w:t>5、货物在系统安装调试验收合格前的保险由中标人负责，中标人负责其派出的现场服务人员人身意外保险。</w:t>
            </w:r>
          </w:p>
          <w:p>
            <w:pPr>
              <w:pStyle w:val="5"/>
              <w:snapToGrid w:val="0"/>
              <w:ind w:right="149"/>
              <w:rPr>
                <w:rFonts w:hint="eastAsia"/>
                <w:sz w:val="20"/>
                <w:szCs w:val="20"/>
                <w:lang w:val="en-US"/>
              </w:rPr>
            </w:pPr>
            <w:r>
              <w:rPr>
                <w:rFonts w:hint="eastAsia"/>
                <w:sz w:val="20"/>
                <w:szCs w:val="20"/>
                <w:lang w:val="en-US"/>
              </w:rPr>
              <w:t>6、设备至采购人指定的使用现场的包装、保险及发运等环节和费用均由中标人负责。</w:t>
            </w:r>
          </w:p>
        </w:tc>
        <w:tc>
          <w:tcPr>
            <w:tcW w:w="1720" w:type="dxa"/>
          </w:tcPr>
          <w:p>
            <w:pPr>
              <w:pStyle w:val="5"/>
              <w:snapToGrid w:val="0"/>
              <w:ind w:right="149"/>
              <w:rPr>
                <w:sz w:val="20"/>
                <w:szCs w:val="20"/>
                <w:lang w:val="en-US"/>
              </w:rPr>
            </w:pPr>
          </w:p>
        </w:tc>
        <w:tc>
          <w:tcPr>
            <w:tcW w:w="1290" w:type="dxa"/>
          </w:tcPr>
          <w:p>
            <w:pPr>
              <w:pStyle w:val="5"/>
              <w:snapToGrid w:val="0"/>
              <w:ind w:right="149"/>
              <w:rPr>
                <w:sz w:val="20"/>
                <w:szCs w:val="20"/>
                <w:lang w:val="en-US"/>
              </w:rPr>
            </w:pPr>
          </w:p>
        </w:tc>
        <w:tc>
          <w:tcPr>
            <w:tcW w:w="1410" w:type="dxa"/>
          </w:tcPr>
          <w:p>
            <w:pPr>
              <w:pStyle w:val="5"/>
              <w:snapToGrid w:val="0"/>
              <w:ind w:right="149"/>
              <w:rPr>
                <w:sz w:val="20"/>
                <w:szCs w:val="20"/>
                <w:lang w:val="en-US"/>
              </w:rPr>
            </w:pPr>
          </w:p>
        </w:tc>
        <w:tc>
          <w:tcPr>
            <w:tcW w:w="1008" w:type="dxa"/>
          </w:tcPr>
          <w:p>
            <w:pPr>
              <w:pStyle w:val="5"/>
              <w:snapToGrid w:val="0"/>
              <w:ind w:right="149"/>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5"/>
              <w:numPr>
                <w:ilvl w:val="0"/>
                <w:numId w:val="2"/>
              </w:numPr>
              <w:snapToGrid w:val="0"/>
              <w:ind w:right="149"/>
              <w:rPr>
                <w:sz w:val="20"/>
                <w:szCs w:val="20"/>
                <w:lang w:val="en-US"/>
              </w:rPr>
            </w:pPr>
          </w:p>
        </w:tc>
        <w:tc>
          <w:tcPr>
            <w:tcW w:w="994" w:type="dxa"/>
          </w:tcPr>
          <w:p>
            <w:pPr>
              <w:pStyle w:val="5"/>
              <w:snapToGrid w:val="0"/>
              <w:ind w:right="149"/>
              <w:rPr>
                <w:sz w:val="20"/>
                <w:szCs w:val="20"/>
                <w:lang w:val="en-US"/>
              </w:rPr>
            </w:pPr>
          </w:p>
        </w:tc>
        <w:tc>
          <w:tcPr>
            <w:tcW w:w="3110" w:type="dxa"/>
          </w:tcPr>
          <w:p>
            <w:pPr>
              <w:pStyle w:val="5"/>
              <w:snapToGrid w:val="0"/>
              <w:ind w:right="149"/>
              <w:rPr>
                <w:rFonts w:hint="eastAsia"/>
                <w:sz w:val="20"/>
                <w:szCs w:val="20"/>
                <w:lang w:val="en-US"/>
              </w:rPr>
            </w:pPr>
            <w:r>
              <w:rPr>
                <w:rFonts w:hint="eastAsia"/>
                <w:sz w:val="20"/>
                <w:szCs w:val="20"/>
                <w:lang w:val="en-US"/>
              </w:rPr>
              <w:t>（四）安装、调试</w:t>
            </w:r>
          </w:p>
          <w:p>
            <w:pPr>
              <w:pStyle w:val="5"/>
              <w:snapToGrid w:val="0"/>
              <w:ind w:right="149"/>
              <w:rPr>
                <w:rFonts w:hint="eastAsia"/>
                <w:sz w:val="20"/>
                <w:szCs w:val="20"/>
                <w:lang w:val="en-US"/>
              </w:rPr>
            </w:pPr>
            <w:r>
              <w:rPr>
                <w:rFonts w:hint="eastAsia"/>
                <w:sz w:val="20"/>
                <w:szCs w:val="20"/>
                <w:lang w:val="en-US"/>
              </w:rPr>
              <w:t>中标人必须依照招标文件的要求和投标文件的承诺，将设备（系统）安装并调试至正常运行的最佳状态且双方均认为满意。</w:t>
            </w:r>
          </w:p>
        </w:tc>
        <w:tc>
          <w:tcPr>
            <w:tcW w:w="1720" w:type="dxa"/>
          </w:tcPr>
          <w:p>
            <w:pPr>
              <w:pStyle w:val="5"/>
              <w:snapToGrid w:val="0"/>
              <w:ind w:right="149"/>
              <w:rPr>
                <w:sz w:val="20"/>
                <w:szCs w:val="20"/>
                <w:lang w:val="en-US"/>
              </w:rPr>
            </w:pPr>
          </w:p>
        </w:tc>
        <w:tc>
          <w:tcPr>
            <w:tcW w:w="1290" w:type="dxa"/>
          </w:tcPr>
          <w:p>
            <w:pPr>
              <w:pStyle w:val="5"/>
              <w:snapToGrid w:val="0"/>
              <w:ind w:right="149"/>
              <w:rPr>
                <w:sz w:val="20"/>
                <w:szCs w:val="20"/>
                <w:lang w:val="en-US"/>
              </w:rPr>
            </w:pPr>
          </w:p>
        </w:tc>
        <w:tc>
          <w:tcPr>
            <w:tcW w:w="1410" w:type="dxa"/>
          </w:tcPr>
          <w:p>
            <w:pPr>
              <w:pStyle w:val="5"/>
              <w:snapToGrid w:val="0"/>
              <w:ind w:right="149"/>
              <w:rPr>
                <w:sz w:val="20"/>
                <w:szCs w:val="20"/>
                <w:lang w:val="en-US"/>
              </w:rPr>
            </w:pPr>
          </w:p>
        </w:tc>
        <w:tc>
          <w:tcPr>
            <w:tcW w:w="1008" w:type="dxa"/>
          </w:tcPr>
          <w:p>
            <w:pPr>
              <w:pStyle w:val="5"/>
              <w:snapToGrid w:val="0"/>
              <w:ind w:right="149"/>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5"/>
              <w:numPr>
                <w:ilvl w:val="0"/>
                <w:numId w:val="2"/>
              </w:numPr>
              <w:snapToGrid w:val="0"/>
              <w:ind w:right="149"/>
              <w:rPr>
                <w:sz w:val="20"/>
                <w:szCs w:val="20"/>
                <w:lang w:val="en-US"/>
              </w:rPr>
            </w:pPr>
          </w:p>
        </w:tc>
        <w:tc>
          <w:tcPr>
            <w:tcW w:w="994" w:type="dxa"/>
          </w:tcPr>
          <w:p>
            <w:pPr>
              <w:pStyle w:val="5"/>
              <w:snapToGrid w:val="0"/>
              <w:ind w:right="149"/>
              <w:rPr>
                <w:sz w:val="20"/>
                <w:szCs w:val="20"/>
                <w:lang w:val="en-US"/>
              </w:rPr>
            </w:pPr>
          </w:p>
        </w:tc>
        <w:tc>
          <w:tcPr>
            <w:tcW w:w="3110" w:type="dxa"/>
          </w:tcPr>
          <w:p>
            <w:pPr>
              <w:pStyle w:val="5"/>
              <w:snapToGrid w:val="0"/>
              <w:ind w:right="149"/>
              <w:rPr>
                <w:rFonts w:hint="eastAsia"/>
                <w:sz w:val="20"/>
                <w:szCs w:val="20"/>
                <w:lang w:val="en-US"/>
              </w:rPr>
            </w:pPr>
            <w:r>
              <w:rPr>
                <w:rFonts w:hint="eastAsia"/>
                <w:sz w:val="20"/>
                <w:szCs w:val="20"/>
                <w:lang w:val="en-US"/>
              </w:rPr>
              <w:t>（五）知识产权和保密要求</w:t>
            </w:r>
          </w:p>
          <w:p>
            <w:pPr>
              <w:pStyle w:val="5"/>
              <w:snapToGrid w:val="0"/>
              <w:ind w:right="149"/>
              <w:rPr>
                <w:rFonts w:hint="eastAsia"/>
                <w:sz w:val="20"/>
                <w:szCs w:val="20"/>
                <w:lang w:val="en-US"/>
              </w:rPr>
            </w:pPr>
            <w:r>
              <w:rPr>
                <w:rFonts w:hint="eastAsia"/>
                <w:sz w:val="20"/>
                <w:szCs w:val="20"/>
                <w:lang w:val="en-US"/>
              </w:rPr>
              <w:t>中标人保证合同项下提供的设备不侵犯任何第三方的专利、商标或版权等知识产权。否则，中标人须承担对第三方的专利或第三方的专利或版权等知识产权的侵权责任并承担由此而发生的所有费用。</w:t>
            </w:r>
          </w:p>
        </w:tc>
        <w:tc>
          <w:tcPr>
            <w:tcW w:w="1720" w:type="dxa"/>
          </w:tcPr>
          <w:p>
            <w:pPr>
              <w:pStyle w:val="5"/>
              <w:snapToGrid w:val="0"/>
              <w:ind w:right="149"/>
              <w:rPr>
                <w:sz w:val="20"/>
                <w:szCs w:val="20"/>
                <w:lang w:val="en-US"/>
              </w:rPr>
            </w:pPr>
          </w:p>
        </w:tc>
        <w:tc>
          <w:tcPr>
            <w:tcW w:w="1290" w:type="dxa"/>
          </w:tcPr>
          <w:p>
            <w:pPr>
              <w:pStyle w:val="5"/>
              <w:snapToGrid w:val="0"/>
              <w:ind w:right="149"/>
              <w:rPr>
                <w:sz w:val="20"/>
                <w:szCs w:val="20"/>
                <w:lang w:val="en-US"/>
              </w:rPr>
            </w:pPr>
          </w:p>
        </w:tc>
        <w:tc>
          <w:tcPr>
            <w:tcW w:w="1410" w:type="dxa"/>
          </w:tcPr>
          <w:p>
            <w:pPr>
              <w:pStyle w:val="5"/>
              <w:snapToGrid w:val="0"/>
              <w:ind w:right="149"/>
              <w:rPr>
                <w:sz w:val="20"/>
                <w:szCs w:val="20"/>
                <w:lang w:val="en-US"/>
              </w:rPr>
            </w:pPr>
          </w:p>
        </w:tc>
        <w:tc>
          <w:tcPr>
            <w:tcW w:w="1008" w:type="dxa"/>
          </w:tcPr>
          <w:p>
            <w:pPr>
              <w:pStyle w:val="5"/>
              <w:snapToGrid w:val="0"/>
              <w:ind w:right="149"/>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5"/>
              <w:numPr>
                <w:ilvl w:val="0"/>
                <w:numId w:val="2"/>
              </w:numPr>
              <w:snapToGrid w:val="0"/>
              <w:ind w:right="149"/>
              <w:rPr>
                <w:sz w:val="20"/>
                <w:szCs w:val="20"/>
                <w:lang w:val="en-US"/>
              </w:rPr>
            </w:pPr>
          </w:p>
        </w:tc>
        <w:tc>
          <w:tcPr>
            <w:tcW w:w="994" w:type="dxa"/>
          </w:tcPr>
          <w:p>
            <w:pPr>
              <w:pStyle w:val="5"/>
              <w:snapToGrid w:val="0"/>
              <w:ind w:right="149"/>
              <w:rPr>
                <w:sz w:val="20"/>
                <w:szCs w:val="20"/>
                <w:lang w:val="en-US"/>
              </w:rPr>
            </w:pPr>
          </w:p>
        </w:tc>
        <w:tc>
          <w:tcPr>
            <w:tcW w:w="3110" w:type="dxa"/>
          </w:tcPr>
          <w:p>
            <w:pPr>
              <w:pStyle w:val="5"/>
              <w:snapToGrid w:val="0"/>
              <w:ind w:right="149"/>
              <w:rPr>
                <w:rFonts w:hint="eastAsia" w:eastAsia="宋体"/>
                <w:sz w:val="20"/>
                <w:szCs w:val="20"/>
                <w:lang w:val="en-US" w:eastAsia="zh-CN"/>
              </w:rPr>
            </w:pPr>
            <w:r>
              <w:rPr>
                <w:rFonts w:hint="eastAsia"/>
                <w:sz w:val="20"/>
                <w:szCs w:val="20"/>
                <w:lang w:val="en-US"/>
              </w:rPr>
              <w:t>标的提供的时间</w:t>
            </w:r>
            <w:r>
              <w:rPr>
                <w:rFonts w:hint="eastAsia"/>
                <w:sz w:val="20"/>
                <w:szCs w:val="20"/>
                <w:lang w:val="en-US" w:eastAsia="zh-CN"/>
              </w:rPr>
              <w:t>：合同签订生效后60天内完成交货、安装调试。</w:t>
            </w:r>
          </w:p>
        </w:tc>
        <w:tc>
          <w:tcPr>
            <w:tcW w:w="1720" w:type="dxa"/>
          </w:tcPr>
          <w:p>
            <w:pPr>
              <w:pStyle w:val="5"/>
              <w:snapToGrid w:val="0"/>
              <w:ind w:right="149"/>
              <w:rPr>
                <w:sz w:val="20"/>
                <w:szCs w:val="20"/>
                <w:lang w:val="en-US"/>
              </w:rPr>
            </w:pPr>
          </w:p>
        </w:tc>
        <w:tc>
          <w:tcPr>
            <w:tcW w:w="1290" w:type="dxa"/>
          </w:tcPr>
          <w:p>
            <w:pPr>
              <w:pStyle w:val="5"/>
              <w:snapToGrid w:val="0"/>
              <w:ind w:right="149"/>
              <w:rPr>
                <w:sz w:val="20"/>
                <w:szCs w:val="20"/>
                <w:lang w:val="en-US"/>
              </w:rPr>
            </w:pPr>
          </w:p>
        </w:tc>
        <w:tc>
          <w:tcPr>
            <w:tcW w:w="1410" w:type="dxa"/>
          </w:tcPr>
          <w:p>
            <w:pPr>
              <w:pStyle w:val="5"/>
              <w:snapToGrid w:val="0"/>
              <w:ind w:right="149"/>
              <w:rPr>
                <w:sz w:val="20"/>
                <w:szCs w:val="20"/>
                <w:lang w:val="en-US"/>
              </w:rPr>
            </w:pPr>
          </w:p>
        </w:tc>
        <w:tc>
          <w:tcPr>
            <w:tcW w:w="1008" w:type="dxa"/>
          </w:tcPr>
          <w:p>
            <w:pPr>
              <w:pStyle w:val="5"/>
              <w:snapToGrid w:val="0"/>
              <w:ind w:right="149"/>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5"/>
              <w:numPr>
                <w:ilvl w:val="0"/>
                <w:numId w:val="2"/>
              </w:numPr>
              <w:snapToGrid w:val="0"/>
              <w:ind w:right="149"/>
              <w:rPr>
                <w:sz w:val="20"/>
                <w:szCs w:val="20"/>
                <w:lang w:val="en-US"/>
              </w:rPr>
            </w:pPr>
          </w:p>
        </w:tc>
        <w:tc>
          <w:tcPr>
            <w:tcW w:w="994" w:type="dxa"/>
          </w:tcPr>
          <w:p>
            <w:pPr>
              <w:pStyle w:val="5"/>
              <w:snapToGrid w:val="0"/>
              <w:ind w:right="149"/>
              <w:rPr>
                <w:sz w:val="20"/>
                <w:szCs w:val="20"/>
                <w:lang w:val="en-US"/>
              </w:rPr>
            </w:pPr>
          </w:p>
        </w:tc>
        <w:tc>
          <w:tcPr>
            <w:tcW w:w="3110" w:type="dxa"/>
          </w:tcPr>
          <w:p>
            <w:pPr>
              <w:pStyle w:val="5"/>
              <w:snapToGrid w:val="0"/>
              <w:ind w:right="149"/>
              <w:rPr>
                <w:rFonts w:hint="eastAsia" w:eastAsia="宋体"/>
                <w:sz w:val="20"/>
                <w:szCs w:val="20"/>
                <w:lang w:val="en-US" w:eastAsia="zh-CN"/>
              </w:rPr>
            </w:pPr>
            <w:r>
              <w:rPr>
                <w:rFonts w:hint="eastAsia"/>
                <w:sz w:val="20"/>
                <w:szCs w:val="20"/>
                <w:lang w:val="en-US"/>
              </w:rPr>
              <w:t>标的提供的地点</w:t>
            </w:r>
            <w:r>
              <w:rPr>
                <w:rFonts w:hint="eastAsia"/>
                <w:sz w:val="20"/>
                <w:szCs w:val="20"/>
                <w:lang w:val="en-US" w:eastAsia="zh-CN"/>
              </w:rPr>
              <w:t>：采购人指定地点。</w:t>
            </w:r>
          </w:p>
        </w:tc>
        <w:tc>
          <w:tcPr>
            <w:tcW w:w="1720" w:type="dxa"/>
          </w:tcPr>
          <w:p>
            <w:pPr>
              <w:pStyle w:val="5"/>
              <w:snapToGrid w:val="0"/>
              <w:ind w:right="149"/>
              <w:rPr>
                <w:sz w:val="20"/>
                <w:szCs w:val="20"/>
                <w:lang w:val="en-US"/>
              </w:rPr>
            </w:pPr>
          </w:p>
        </w:tc>
        <w:tc>
          <w:tcPr>
            <w:tcW w:w="1290" w:type="dxa"/>
          </w:tcPr>
          <w:p>
            <w:pPr>
              <w:pStyle w:val="5"/>
              <w:snapToGrid w:val="0"/>
              <w:ind w:right="149"/>
              <w:rPr>
                <w:sz w:val="20"/>
                <w:szCs w:val="20"/>
                <w:lang w:val="en-US"/>
              </w:rPr>
            </w:pPr>
          </w:p>
        </w:tc>
        <w:tc>
          <w:tcPr>
            <w:tcW w:w="1410" w:type="dxa"/>
          </w:tcPr>
          <w:p>
            <w:pPr>
              <w:pStyle w:val="5"/>
              <w:snapToGrid w:val="0"/>
              <w:ind w:right="149"/>
              <w:rPr>
                <w:sz w:val="20"/>
                <w:szCs w:val="20"/>
                <w:lang w:val="en-US"/>
              </w:rPr>
            </w:pPr>
          </w:p>
        </w:tc>
        <w:tc>
          <w:tcPr>
            <w:tcW w:w="1008" w:type="dxa"/>
          </w:tcPr>
          <w:p>
            <w:pPr>
              <w:pStyle w:val="5"/>
              <w:snapToGrid w:val="0"/>
              <w:ind w:right="149"/>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5"/>
              <w:numPr>
                <w:ilvl w:val="0"/>
                <w:numId w:val="2"/>
              </w:numPr>
              <w:snapToGrid w:val="0"/>
              <w:ind w:right="149"/>
              <w:rPr>
                <w:sz w:val="20"/>
                <w:szCs w:val="20"/>
                <w:lang w:val="en-US"/>
              </w:rPr>
            </w:pPr>
          </w:p>
        </w:tc>
        <w:tc>
          <w:tcPr>
            <w:tcW w:w="994" w:type="dxa"/>
          </w:tcPr>
          <w:p>
            <w:pPr>
              <w:pStyle w:val="5"/>
              <w:snapToGrid w:val="0"/>
              <w:ind w:right="149"/>
              <w:rPr>
                <w:sz w:val="20"/>
                <w:szCs w:val="20"/>
                <w:lang w:val="en-US"/>
              </w:rPr>
            </w:pPr>
          </w:p>
        </w:tc>
        <w:tc>
          <w:tcPr>
            <w:tcW w:w="3110" w:type="dxa"/>
          </w:tcPr>
          <w:p>
            <w:pPr>
              <w:pStyle w:val="5"/>
              <w:snapToGrid w:val="0"/>
              <w:ind w:right="149"/>
              <w:rPr>
                <w:rFonts w:hint="eastAsia" w:eastAsia="宋体"/>
                <w:sz w:val="20"/>
                <w:szCs w:val="20"/>
                <w:lang w:val="en-US" w:eastAsia="zh-CN"/>
              </w:rPr>
            </w:pPr>
            <w:r>
              <w:rPr>
                <w:rFonts w:hint="eastAsia"/>
                <w:sz w:val="20"/>
                <w:szCs w:val="20"/>
                <w:lang w:val="en-US"/>
              </w:rPr>
              <w:t>付款方式</w:t>
            </w:r>
            <w:r>
              <w:rPr>
                <w:rFonts w:hint="eastAsia"/>
                <w:sz w:val="20"/>
                <w:szCs w:val="20"/>
                <w:lang w:val="en-US" w:eastAsia="zh-CN"/>
              </w:rPr>
              <w:t>：1期：支付比例50%，签订合同后支付合同总价的50%。 2期：支付比例48%，设备安装调试结束，提交全部报告材料，调试完成并验收合格后30天内，支付至合同总价的98%。 3期：支付比例2%，从验收合格之日起，正常使用12个月后30天内，支付合同总价的2%。注： 中标人凭以下有效文件与采购人结算：（1）合同；（2）中标人开具的正式发票；（3）验收调试 报告（加盖采购人公章）；（4）中标通知书。</w:t>
            </w:r>
          </w:p>
        </w:tc>
        <w:tc>
          <w:tcPr>
            <w:tcW w:w="1720" w:type="dxa"/>
          </w:tcPr>
          <w:p>
            <w:pPr>
              <w:pStyle w:val="5"/>
              <w:snapToGrid w:val="0"/>
              <w:ind w:right="149"/>
              <w:rPr>
                <w:sz w:val="20"/>
                <w:szCs w:val="20"/>
                <w:lang w:val="en-US"/>
              </w:rPr>
            </w:pPr>
          </w:p>
        </w:tc>
        <w:tc>
          <w:tcPr>
            <w:tcW w:w="1290" w:type="dxa"/>
          </w:tcPr>
          <w:p>
            <w:pPr>
              <w:pStyle w:val="5"/>
              <w:snapToGrid w:val="0"/>
              <w:ind w:right="149"/>
              <w:rPr>
                <w:sz w:val="20"/>
                <w:szCs w:val="20"/>
                <w:lang w:val="en-US"/>
              </w:rPr>
            </w:pPr>
          </w:p>
        </w:tc>
        <w:tc>
          <w:tcPr>
            <w:tcW w:w="1410" w:type="dxa"/>
          </w:tcPr>
          <w:p>
            <w:pPr>
              <w:pStyle w:val="5"/>
              <w:snapToGrid w:val="0"/>
              <w:ind w:right="149"/>
              <w:rPr>
                <w:sz w:val="20"/>
                <w:szCs w:val="20"/>
                <w:lang w:val="en-US"/>
              </w:rPr>
            </w:pPr>
          </w:p>
        </w:tc>
        <w:tc>
          <w:tcPr>
            <w:tcW w:w="1008" w:type="dxa"/>
          </w:tcPr>
          <w:p>
            <w:pPr>
              <w:pStyle w:val="5"/>
              <w:snapToGrid w:val="0"/>
              <w:ind w:right="149"/>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5"/>
              <w:numPr>
                <w:ilvl w:val="0"/>
                <w:numId w:val="2"/>
              </w:numPr>
              <w:snapToGrid w:val="0"/>
              <w:ind w:right="149"/>
              <w:rPr>
                <w:sz w:val="20"/>
                <w:szCs w:val="20"/>
                <w:lang w:val="en-US"/>
              </w:rPr>
            </w:pPr>
          </w:p>
        </w:tc>
        <w:tc>
          <w:tcPr>
            <w:tcW w:w="994" w:type="dxa"/>
          </w:tcPr>
          <w:p>
            <w:pPr>
              <w:pStyle w:val="5"/>
              <w:snapToGrid w:val="0"/>
              <w:ind w:right="149"/>
              <w:rPr>
                <w:sz w:val="20"/>
                <w:szCs w:val="20"/>
                <w:lang w:val="en-US"/>
              </w:rPr>
            </w:pPr>
          </w:p>
        </w:tc>
        <w:tc>
          <w:tcPr>
            <w:tcW w:w="3110" w:type="dxa"/>
          </w:tcPr>
          <w:p>
            <w:pPr>
              <w:pStyle w:val="5"/>
              <w:snapToGrid w:val="0"/>
              <w:ind w:right="149"/>
              <w:rPr>
                <w:rFonts w:hint="eastAsia" w:eastAsia="宋体"/>
                <w:sz w:val="20"/>
                <w:szCs w:val="20"/>
                <w:lang w:val="en-US" w:eastAsia="zh-CN"/>
              </w:rPr>
            </w:pPr>
            <w:r>
              <w:rPr>
                <w:rFonts w:hint="eastAsia"/>
                <w:sz w:val="20"/>
                <w:szCs w:val="20"/>
                <w:lang w:val="en-US"/>
              </w:rPr>
              <w:t>验收要求</w:t>
            </w:r>
            <w:r>
              <w:rPr>
                <w:rFonts w:hint="eastAsia"/>
                <w:sz w:val="20"/>
                <w:szCs w:val="20"/>
                <w:lang w:val="en-US" w:eastAsia="zh-CN"/>
              </w:rPr>
              <w:t>：1期：1、货物若有国家标准按照国家标准验收，若无国家标准按行业标准验收，为原制造商制造 的全新产品，整机无污染，无侵权行为、表面无划损、无任何缺陷隐患，在中国境内可依常规安 全合法使用。 2、货物为原厂商未启封全新包装，具出厂合格证，序列号、包装箱号与出厂批号一 致，并可追索查阅。所有随设备的附件必须齐全。 3、中标人应将关键主机设备的用户手册、保修 手册、有关单证资料及配备件、随机工具等交付给采购人，使用操作及安全须知等重要资料应附 有中文说明。 4、采购人组成验收小组按国家有关规定、规范进行验收，必要时邀请相关的专业人 员或机构参与验收。因货物质量问题发生争议时，由本地质量技术监督部门鉴定。货物符合质量 技术标准的，鉴定费由采购人承担；否则鉴定费由中标人承担。</w:t>
            </w:r>
          </w:p>
        </w:tc>
        <w:tc>
          <w:tcPr>
            <w:tcW w:w="1720" w:type="dxa"/>
          </w:tcPr>
          <w:p>
            <w:pPr>
              <w:pStyle w:val="5"/>
              <w:snapToGrid w:val="0"/>
              <w:ind w:right="149"/>
              <w:rPr>
                <w:sz w:val="20"/>
                <w:szCs w:val="20"/>
                <w:lang w:val="en-US"/>
              </w:rPr>
            </w:pPr>
          </w:p>
        </w:tc>
        <w:tc>
          <w:tcPr>
            <w:tcW w:w="1290" w:type="dxa"/>
          </w:tcPr>
          <w:p>
            <w:pPr>
              <w:pStyle w:val="5"/>
              <w:snapToGrid w:val="0"/>
              <w:ind w:right="149"/>
              <w:rPr>
                <w:sz w:val="20"/>
                <w:szCs w:val="20"/>
                <w:lang w:val="en-US"/>
              </w:rPr>
            </w:pPr>
          </w:p>
        </w:tc>
        <w:tc>
          <w:tcPr>
            <w:tcW w:w="1410" w:type="dxa"/>
          </w:tcPr>
          <w:p>
            <w:pPr>
              <w:pStyle w:val="5"/>
              <w:snapToGrid w:val="0"/>
              <w:ind w:right="149"/>
              <w:rPr>
                <w:sz w:val="20"/>
                <w:szCs w:val="20"/>
                <w:lang w:val="en-US"/>
              </w:rPr>
            </w:pPr>
          </w:p>
        </w:tc>
        <w:tc>
          <w:tcPr>
            <w:tcW w:w="1008" w:type="dxa"/>
          </w:tcPr>
          <w:p>
            <w:pPr>
              <w:pStyle w:val="5"/>
              <w:snapToGrid w:val="0"/>
              <w:ind w:right="149"/>
              <w:rPr>
                <w:sz w:val="20"/>
                <w:szCs w:val="20"/>
                <w:lang w:val="en-US"/>
              </w:rPr>
            </w:pPr>
          </w:p>
        </w:tc>
      </w:tr>
    </w:tbl>
    <w:p>
      <w:pPr>
        <w:pStyle w:val="5"/>
        <w:snapToGrid w:val="0"/>
        <w:spacing w:line="360" w:lineRule="auto"/>
        <w:ind w:left="106" w:right="149" w:firstLine="384"/>
        <w:rPr>
          <w:sz w:val="20"/>
          <w:szCs w:val="20"/>
          <w:lang w:val="en-US"/>
        </w:rPr>
      </w:pPr>
      <w:r>
        <w:rPr>
          <w:rFonts w:hint="eastAsia"/>
          <w:sz w:val="20"/>
          <w:szCs w:val="20"/>
          <w:lang w:val="en-US"/>
        </w:rPr>
        <w:t>说明：</w:t>
      </w:r>
    </w:p>
    <w:p>
      <w:pPr>
        <w:pStyle w:val="5"/>
        <w:snapToGrid w:val="0"/>
        <w:spacing w:line="360" w:lineRule="auto"/>
        <w:ind w:left="106" w:right="149" w:firstLine="384"/>
        <w:rPr>
          <w:sz w:val="20"/>
          <w:szCs w:val="20"/>
          <w:lang w:val="en-US"/>
        </w:rPr>
      </w:pPr>
      <w:r>
        <w:rPr>
          <w:rFonts w:hint="eastAsia"/>
          <w:sz w:val="20"/>
          <w:szCs w:val="20"/>
          <w:lang w:val="en-US"/>
        </w:rPr>
        <w:t>1.“采购文件规定的商务条件”项下填写的内容应与招标文件中采购需求的“商务要求”的内容保持一致。</w:t>
      </w:r>
    </w:p>
    <w:p>
      <w:pPr>
        <w:pStyle w:val="5"/>
        <w:snapToGrid w:val="0"/>
        <w:spacing w:line="360" w:lineRule="auto"/>
        <w:ind w:left="106" w:right="149" w:firstLine="384"/>
        <w:rPr>
          <w:sz w:val="20"/>
          <w:szCs w:val="20"/>
          <w:lang w:val="en-US"/>
        </w:rPr>
      </w:pPr>
      <w:r>
        <w:rPr>
          <w:rFonts w:hint="eastAsia"/>
          <w:sz w:val="20"/>
          <w:szCs w:val="20"/>
          <w:lang w:val="en-US"/>
        </w:rP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5"/>
        <w:snapToGrid w:val="0"/>
        <w:spacing w:line="360" w:lineRule="auto"/>
        <w:ind w:left="106" w:right="149" w:firstLine="384"/>
        <w:rPr>
          <w:sz w:val="20"/>
          <w:szCs w:val="20"/>
          <w:lang w:val="en-US"/>
        </w:rPr>
      </w:pPr>
      <w:r>
        <w:rPr>
          <w:rFonts w:hint="eastAsia"/>
          <w:sz w:val="20"/>
          <w:szCs w:val="20"/>
          <w:lang w:val="en-US"/>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5"/>
        <w:snapToGrid w:val="0"/>
        <w:spacing w:line="360" w:lineRule="auto"/>
        <w:ind w:left="106" w:right="149" w:firstLine="384"/>
        <w:rPr>
          <w:sz w:val="20"/>
          <w:szCs w:val="20"/>
          <w:lang w:val="en-US"/>
        </w:rPr>
      </w:pPr>
      <w:r>
        <w:rPr>
          <w:rFonts w:hint="eastAsia"/>
          <w:sz w:val="20"/>
          <w:szCs w:val="20"/>
          <w:lang w:val="en-US"/>
        </w:rPr>
        <w:t>4.“是否偏离”项下应按下列规定填写：优于的，填写“正偏离”；符合的，填写“无偏离”；低于的，填写“负偏离”。</w:t>
      </w:r>
    </w:p>
    <w:p>
      <w:pPr>
        <w:pStyle w:val="5"/>
        <w:snapToGrid w:val="0"/>
        <w:spacing w:line="360" w:lineRule="auto"/>
        <w:ind w:left="106" w:right="149" w:firstLine="384"/>
        <w:rPr>
          <w:sz w:val="20"/>
          <w:szCs w:val="20"/>
          <w:lang w:val="en-US"/>
        </w:rPr>
      </w:pPr>
      <w:r>
        <w:rPr>
          <w:rFonts w:hint="eastAsia"/>
          <w:sz w:val="20"/>
          <w:szCs w:val="20"/>
          <w:lang w:val="en-US"/>
        </w:rPr>
        <w:t>5.“备注”处可填写偏离情况的说明。</w:t>
      </w:r>
    </w:p>
    <w:p>
      <w:pPr>
        <w:pStyle w:val="5"/>
        <w:tabs>
          <w:tab w:val="left" w:pos="287"/>
          <w:tab w:val="left" w:pos="768"/>
          <w:tab w:val="left" w:pos="1248"/>
        </w:tabs>
        <w:snapToGrid w:val="0"/>
        <w:spacing w:line="280" w:lineRule="exact"/>
        <w:ind w:right="339"/>
        <w:jc w:val="right"/>
      </w:pPr>
    </w:p>
    <w:sectPr>
      <w:footerReference r:id="rId4" w:type="default"/>
      <w:pgSz w:w="11900" w:h="16840"/>
      <w:pgMar w:top="500" w:right="520" w:bottom="280" w:left="560"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1058" o:spid="_x0000_s105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1059" o:spid="_x0000_s105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1902"/>
    <w:multiLevelType w:val="singleLevel"/>
    <w:tmpl w:val="A79E1902"/>
    <w:lvl w:ilvl="0" w:tentative="0">
      <w:start w:val="1"/>
      <w:numFmt w:val="decimal"/>
      <w:lvlText w:val="%1."/>
      <w:lvlJc w:val="left"/>
      <w:pPr>
        <w:ind w:left="425" w:hanging="425"/>
      </w:pPr>
      <w:rPr>
        <w:rFonts w:hint="default"/>
      </w:rPr>
    </w:lvl>
  </w:abstractNum>
  <w:abstractNum w:abstractNumId="1">
    <w:nsid w:val="ECC14532"/>
    <w:multiLevelType w:val="singleLevel"/>
    <w:tmpl w:val="ECC14532"/>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ViNDViN2U5NTUxNTFlZWY5MmM1ZDUwYWI0MGUwMWUifQ=="/>
  </w:docVars>
  <w:rsids>
    <w:rsidRoot w:val="003C7FA9"/>
    <w:rsid w:val="000B1731"/>
    <w:rsid w:val="001430EA"/>
    <w:rsid w:val="001A19D9"/>
    <w:rsid w:val="001C0127"/>
    <w:rsid w:val="001E3AF0"/>
    <w:rsid w:val="003C7FA9"/>
    <w:rsid w:val="004512B5"/>
    <w:rsid w:val="00457434"/>
    <w:rsid w:val="00534F2C"/>
    <w:rsid w:val="00593D2C"/>
    <w:rsid w:val="00663044"/>
    <w:rsid w:val="00707566"/>
    <w:rsid w:val="00B719D3"/>
    <w:rsid w:val="00BA2A33"/>
    <w:rsid w:val="00BB29A7"/>
    <w:rsid w:val="00E81FAA"/>
    <w:rsid w:val="00EC169D"/>
    <w:rsid w:val="00F371DA"/>
    <w:rsid w:val="07961ECC"/>
    <w:rsid w:val="088848C7"/>
    <w:rsid w:val="164D5A40"/>
    <w:rsid w:val="4220715D"/>
    <w:rsid w:val="4CB23282"/>
    <w:rsid w:val="52A261DC"/>
    <w:rsid w:val="5D0D6309"/>
    <w:rsid w:val="74A42783"/>
    <w:rsid w:val="7C536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adjustRightInd w:val="0"/>
      <w:spacing w:line="420" w:lineRule="atLeast"/>
      <w:jc w:val="left"/>
    </w:pPr>
    <w:rPr>
      <w:kern w:val="0"/>
      <w:szCs w:val="20"/>
    </w:rPr>
  </w:style>
  <w:style w:type="paragraph" w:customStyle="1" w:styleId="3">
    <w:name w:val="正文_1"/>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annotation text"/>
    <w:basedOn w:val="1"/>
    <w:link w:val="22"/>
    <w:semiHidden/>
    <w:unhideWhenUsed/>
    <w:qFormat/>
    <w:uiPriority w:val="99"/>
  </w:style>
  <w:style w:type="paragraph" w:styleId="5">
    <w:name w:val="Body Text"/>
    <w:basedOn w:val="1"/>
    <w:qFormat/>
    <w:uiPriority w:val="1"/>
    <w:rPr>
      <w:sz w:val="19"/>
      <w:szCs w:val="19"/>
    </w:rPr>
  </w:style>
  <w:style w:type="paragraph" w:styleId="6">
    <w:name w:val="Balloon Text"/>
    <w:basedOn w:val="1"/>
    <w:link w:val="24"/>
    <w:semiHidden/>
    <w:unhideWhenUsed/>
    <w:qFormat/>
    <w:uiPriority w:val="99"/>
    <w:rPr>
      <w:sz w:val="18"/>
      <w:szCs w:val="18"/>
    </w:rPr>
  </w:style>
  <w:style w:type="paragraph" w:styleId="7">
    <w:name w:val="footer"/>
    <w:basedOn w:val="1"/>
    <w:link w:val="26"/>
    <w:semiHidden/>
    <w:unhideWhenUsed/>
    <w:qFormat/>
    <w:uiPriority w:val="99"/>
    <w:pPr>
      <w:tabs>
        <w:tab w:val="center" w:pos="4153"/>
        <w:tab w:val="right" w:pos="8306"/>
      </w:tabs>
      <w:snapToGrid w:val="0"/>
    </w:pPr>
    <w:rPr>
      <w:sz w:val="18"/>
      <w:szCs w:val="18"/>
    </w:rPr>
  </w:style>
  <w:style w:type="paragraph" w:styleId="8">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Heading 1"/>
    <w:basedOn w:val="1"/>
    <w:qFormat/>
    <w:uiPriority w:val="1"/>
    <w:pPr>
      <w:ind w:left="2644" w:right="2717"/>
      <w:jc w:val="center"/>
      <w:outlineLvl w:val="1"/>
    </w:pPr>
    <w:rPr>
      <w:b/>
      <w:bCs/>
      <w:sz w:val="38"/>
      <w:szCs w:val="38"/>
    </w:rPr>
  </w:style>
  <w:style w:type="paragraph" w:customStyle="1" w:styleId="16">
    <w:name w:val="Heading 2"/>
    <w:basedOn w:val="1"/>
    <w:qFormat/>
    <w:uiPriority w:val="1"/>
    <w:pPr>
      <w:ind w:left="2650" w:right="2717"/>
      <w:jc w:val="center"/>
      <w:outlineLvl w:val="2"/>
    </w:pPr>
    <w:rPr>
      <w:b/>
      <w:bCs/>
      <w:sz w:val="24"/>
      <w:szCs w:val="24"/>
    </w:rPr>
  </w:style>
  <w:style w:type="paragraph" w:customStyle="1" w:styleId="17">
    <w:name w:val="Heading 3"/>
    <w:basedOn w:val="1"/>
    <w:qFormat/>
    <w:uiPriority w:val="1"/>
    <w:pPr>
      <w:spacing w:before="48"/>
      <w:ind w:left="2650" w:right="2717"/>
      <w:jc w:val="center"/>
      <w:outlineLvl w:val="3"/>
    </w:pPr>
    <w:rPr>
      <w:b/>
      <w:bCs/>
      <w:sz w:val="21"/>
      <w:szCs w:val="21"/>
    </w:rPr>
  </w:style>
  <w:style w:type="paragraph" w:customStyle="1" w:styleId="18">
    <w:name w:val="Heading 4"/>
    <w:basedOn w:val="1"/>
    <w:qFormat/>
    <w:uiPriority w:val="1"/>
    <w:pPr>
      <w:spacing w:before="62"/>
      <w:ind w:left="100"/>
      <w:outlineLvl w:val="4"/>
    </w:pPr>
    <w:rPr>
      <w:b/>
      <w:bCs/>
      <w:sz w:val="20"/>
      <w:szCs w:val="20"/>
    </w:rPr>
  </w:style>
  <w:style w:type="paragraph" w:customStyle="1" w:styleId="19">
    <w:name w:val="Heading 5"/>
    <w:basedOn w:val="1"/>
    <w:qFormat/>
    <w:uiPriority w:val="1"/>
    <w:pPr>
      <w:ind w:left="312" w:hanging="207"/>
      <w:outlineLvl w:val="5"/>
    </w:pPr>
    <w:rPr>
      <w:b/>
      <w:bCs/>
      <w:sz w:val="19"/>
      <w:szCs w:val="19"/>
    </w:rPr>
  </w:style>
  <w:style w:type="paragraph" w:styleId="20">
    <w:name w:val="List Paragraph"/>
    <w:basedOn w:val="1"/>
    <w:qFormat/>
    <w:uiPriority w:val="1"/>
    <w:pPr>
      <w:spacing w:before="53"/>
      <w:ind w:left="106" w:firstLine="384"/>
    </w:pPr>
  </w:style>
  <w:style w:type="paragraph" w:customStyle="1" w:styleId="21">
    <w:name w:val="Table Paragraph"/>
    <w:basedOn w:val="1"/>
    <w:qFormat/>
    <w:uiPriority w:val="1"/>
  </w:style>
  <w:style w:type="character" w:customStyle="1" w:styleId="22">
    <w:name w:val="批注文字 Char"/>
    <w:basedOn w:val="12"/>
    <w:link w:val="4"/>
    <w:semiHidden/>
    <w:qFormat/>
    <w:uiPriority w:val="99"/>
    <w:rPr>
      <w:rFonts w:ascii="宋体" w:hAnsi="宋体" w:eastAsia="宋体" w:cs="宋体"/>
      <w:lang w:val="zh-CN" w:eastAsia="zh-CN" w:bidi="zh-CN"/>
    </w:rPr>
  </w:style>
  <w:style w:type="character" w:customStyle="1" w:styleId="23">
    <w:name w:val="批注主题 Char"/>
    <w:basedOn w:val="22"/>
    <w:link w:val="9"/>
    <w:semiHidden/>
    <w:qFormat/>
    <w:uiPriority w:val="99"/>
    <w:rPr>
      <w:b/>
      <w:bCs/>
    </w:rPr>
  </w:style>
  <w:style w:type="character" w:customStyle="1" w:styleId="24">
    <w:name w:val="批注框文本 Char"/>
    <w:basedOn w:val="12"/>
    <w:link w:val="6"/>
    <w:semiHidden/>
    <w:qFormat/>
    <w:uiPriority w:val="99"/>
    <w:rPr>
      <w:rFonts w:ascii="宋体" w:hAnsi="宋体" w:eastAsia="宋体" w:cs="宋体"/>
      <w:sz w:val="18"/>
      <w:szCs w:val="18"/>
      <w:lang w:val="zh-CN" w:eastAsia="zh-CN" w:bidi="zh-CN"/>
    </w:rPr>
  </w:style>
  <w:style w:type="character" w:customStyle="1" w:styleId="25">
    <w:name w:val="页眉 Char"/>
    <w:basedOn w:val="12"/>
    <w:link w:val="8"/>
    <w:semiHidden/>
    <w:qFormat/>
    <w:uiPriority w:val="99"/>
    <w:rPr>
      <w:rFonts w:ascii="宋体" w:hAnsi="宋体" w:eastAsia="宋体" w:cs="宋体"/>
      <w:sz w:val="18"/>
      <w:szCs w:val="18"/>
      <w:lang w:val="zh-CN" w:eastAsia="zh-CN" w:bidi="zh-CN"/>
    </w:rPr>
  </w:style>
  <w:style w:type="character" w:customStyle="1" w:styleId="26">
    <w:name w:val="页脚 Char"/>
    <w:basedOn w:val="12"/>
    <w:link w:val="7"/>
    <w:semiHidden/>
    <w:qFormat/>
    <w:uiPriority w:val="99"/>
    <w:rPr>
      <w:rFonts w:ascii="宋体" w:hAnsi="宋体" w:eastAsia="宋体" w:cs="宋体"/>
      <w:sz w:val="18"/>
      <w:szCs w:val="18"/>
      <w:lang w:val="zh-CN" w:eastAsia="zh-CN" w:bidi="zh-CN"/>
    </w:rPr>
  </w:style>
  <w:style w:type="table" w:customStyle="1" w:styleId="27">
    <w:name w:val="网格型1"/>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
    <w:name w:val="正文_2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9692</Words>
  <Characters>10486</Characters>
  <Lines>12</Lines>
  <Paragraphs>3</Paragraphs>
  <TotalTime>2</TotalTime>
  <ScaleCrop>false</ScaleCrop>
  <LinksUpToDate>false</LinksUpToDate>
  <CharactersWithSpaces>10667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2022-04-15T06:35:00Z</dcterms:created>
  <dc:creator>Administrator</dc:creator>
  <cp:lastModifiedBy>NTKO</cp:lastModifiedBy>
  <dcterms:modified xsi:type="dcterms:W3CDTF">2022-05-30T08:23:52Z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wkhtmltopdf 0.12.5</vt:lpwstr>
  </property>
  <property fmtid="{D5CDD505-2E9C-101B-9397-08002B2CF9AE}" pid="4" name="LastSaved">
    <vt:filetime>2022-04-13T00:00:00Z</vt:filetime>
  </property>
  <property fmtid="{D5CDD505-2E9C-101B-9397-08002B2CF9AE}" pid="5" name="KSOProductBuildVer">
    <vt:lpwstr>2052-11.1.0.11744</vt:lpwstr>
  </property>
  <property fmtid="{D5CDD505-2E9C-101B-9397-08002B2CF9AE}" pid="6" name="ICV">
    <vt:lpwstr>189A2443187F44E1B0EFAE9059951A37</vt:lpwstr>
  </property>
</Properties>
</file>