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color w:val="auto"/>
          <w:sz w:val="24"/>
        </w:rPr>
      </w:pPr>
    </w:p>
    <w:p>
      <w:pPr>
        <w:spacing w:before="158"/>
        <w:ind w:left="100"/>
        <w:rPr>
          <w:b/>
          <w:color w:val="auto"/>
          <w:sz w:val="24"/>
        </w:rPr>
      </w:pPr>
      <w:r>
        <w:rPr>
          <w:b/>
          <w:color w:val="auto"/>
          <w:sz w:val="24"/>
        </w:rPr>
        <w:t>《技术和服务要求响应表》</w:t>
      </w:r>
    </w:p>
    <w:p>
      <w:pPr>
        <w:rPr>
          <w:color w:val="auto"/>
          <w:sz w:val="24"/>
        </w:rPr>
        <w:sectPr>
          <w:footerReference r:id="rId3" w:type="default"/>
          <w:pgSz w:w="11900" w:h="16840"/>
          <w:pgMar w:top="740" w:right="520" w:bottom="280" w:left="560" w:header="0" w:footer="567" w:gutter="0"/>
          <w:cols w:equalWidth="0" w:num="2">
            <w:col w:w="1209" w:space="2560"/>
            <w:col w:w="7051"/>
          </w:cols>
        </w:sectPr>
      </w:pPr>
    </w:p>
    <w:p>
      <w:pPr>
        <w:pStyle w:val="5"/>
        <w:spacing w:before="3"/>
        <w:rPr>
          <w:b/>
          <w:color w:val="auto"/>
          <w:sz w:val="17"/>
        </w:rPr>
      </w:pPr>
    </w:p>
    <w:tbl>
      <w:tblPr>
        <w:tblStyle w:val="14"/>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55"/>
        <w:gridCol w:w="1055"/>
        <w:gridCol w:w="2110"/>
        <w:gridCol w:w="1583"/>
        <w:gridCol w:w="1055"/>
        <w:gridCol w:w="1055"/>
        <w:gridCol w:w="1252"/>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ind w:firstLine="119"/>
              <w:jc w:val="center"/>
              <w:rPr>
                <w:color w:val="auto"/>
                <w:sz w:val="20"/>
                <w:szCs w:val="20"/>
                <w:highlight w:val="none"/>
              </w:rPr>
            </w:pPr>
            <w:r>
              <w:rPr>
                <w:rFonts w:hint="eastAsia"/>
                <w:color w:val="auto"/>
                <w:spacing w:val="1"/>
                <w:sz w:val="20"/>
                <w:szCs w:val="20"/>
                <w:highlight w:val="none"/>
              </w:rPr>
              <w:t>序号</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rFonts w:hint="eastAsia" w:eastAsia="宋体"/>
                <w:color w:val="auto"/>
                <w:sz w:val="20"/>
                <w:szCs w:val="20"/>
                <w:highlight w:val="none"/>
                <w:lang w:eastAsia="zh-CN"/>
              </w:rPr>
            </w:pPr>
            <w:r>
              <w:rPr>
                <w:rFonts w:hint="eastAsia"/>
                <w:color w:val="auto"/>
                <w:sz w:val="20"/>
                <w:szCs w:val="20"/>
                <w:highlight w:val="none"/>
                <w:lang w:eastAsia="zh-CN"/>
              </w:rPr>
              <w:t>标的名称</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8"/>
                <w:sz w:val="20"/>
                <w:szCs w:val="20"/>
                <w:highlight w:val="none"/>
              </w:rPr>
              <w:t>参数性质</w:t>
            </w:r>
          </w:p>
        </w:tc>
        <w:tc>
          <w:tcPr>
            <w:tcW w:w="2110" w:type="dxa"/>
            <w:shd w:val="clear" w:color="auto" w:fill="E7E6E6"/>
            <w:noWrap w:val="0"/>
            <w:vAlign w:val="center"/>
          </w:tcPr>
          <w:p>
            <w:pPr>
              <w:pStyle w:val="28"/>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8"/>
                <w:sz w:val="20"/>
                <w:szCs w:val="20"/>
                <w:highlight w:val="none"/>
                <w:lang w:eastAsia="zh-CN"/>
              </w:rPr>
              <w:t>采购文件</w:t>
            </w:r>
            <w:r>
              <w:rPr>
                <w:rFonts w:hint="eastAsia"/>
                <w:color w:val="auto"/>
                <w:spacing w:val="8"/>
                <w:sz w:val="20"/>
                <w:szCs w:val="20"/>
                <w:highlight w:val="none"/>
              </w:rPr>
              <w:t>规定的技术和服务要求</w:t>
            </w:r>
          </w:p>
        </w:tc>
        <w:tc>
          <w:tcPr>
            <w:tcW w:w="1583"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r>
              <w:rPr>
                <w:rFonts w:hint="eastAsia"/>
                <w:color w:val="auto"/>
                <w:sz w:val="20"/>
                <w:szCs w:val="20"/>
                <w:highlight w:val="none"/>
                <w:lang w:eastAsia="zh-CN"/>
              </w:rPr>
              <w:t>投标</w:t>
            </w:r>
            <w:r>
              <w:rPr>
                <w:rFonts w:hint="eastAsia"/>
                <w:color w:val="auto"/>
                <w:sz w:val="20"/>
                <w:szCs w:val="20"/>
                <w:highlight w:val="none"/>
              </w:rPr>
              <w:t>文件响应</w:t>
            </w:r>
          </w:p>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0"/>
                <w:szCs w:val="20"/>
                <w:highlight w:val="none"/>
              </w:rPr>
              <w:t>的具体内容</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z w:val="20"/>
                <w:szCs w:val="20"/>
                <w:highlight w:val="none"/>
              </w:rPr>
              <w:t>型号</w:t>
            </w:r>
          </w:p>
        </w:tc>
        <w:tc>
          <w:tcPr>
            <w:tcW w:w="1055"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8"/>
                <w:sz w:val="20"/>
                <w:szCs w:val="20"/>
                <w:highlight w:val="none"/>
              </w:rPr>
              <w:t>是否偏离</w:t>
            </w:r>
          </w:p>
        </w:tc>
        <w:tc>
          <w:tcPr>
            <w:tcW w:w="1252"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ind w:firstLine="180"/>
              <w:jc w:val="center"/>
              <w:rPr>
                <w:color w:val="auto"/>
                <w:sz w:val="20"/>
                <w:szCs w:val="20"/>
                <w:highlight w:val="none"/>
              </w:rPr>
            </w:pPr>
            <w:r>
              <w:rPr>
                <w:rFonts w:hint="eastAsia"/>
                <w:color w:val="auto"/>
                <w:sz w:val="20"/>
                <w:szCs w:val="20"/>
                <w:highlight w:val="none"/>
              </w:rPr>
              <w:t>证明文件所在位置</w:t>
            </w:r>
          </w:p>
        </w:tc>
        <w:tc>
          <w:tcPr>
            <w:tcW w:w="853" w:type="dxa"/>
            <w:shd w:val="clear" w:color="auto" w:fill="E7E6E6"/>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color w:val="auto"/>
                <w:spacing w:val="1"/>
                <w:sz w:val="20"/>
                <w:szCs w:val="2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eastAsia="宋体"/>
                <w:color w:val="auto"/>
                <w:sz w:val="20"/>
                <w:szCs w:val="20"/>
                <w:highlight w:val="none"/>
                <w:lang w:eastAsia="zh-CN"/>
              </w:rPr>
            </w:pPr>
            <w:r>
              <w:rPr>
                <w:rFonts w:hint="eastAsia" w:ascii="宋体" w:hAnsi="宋体" w:eastAsia="宋体" w:cs="宋体"/>
                <w:i w:val="0"/>
                <w:iCs w:val="0"/>
                <w:color w:val="auto"/>
                <w:kern w:val="0"/>
                <w:sz w:val="20"/>
                <w:szCs w:val="20"/>
                <w:u w:val="none"/>
                <w:lang w:val="en-US" w:eastAsia="zh-CN" w:bidi="ar"/>
              </w:rPr>
              <w:t>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ascii="宋体" w:hAnsi="宋体" w:eastAsia="宋体" w:cs="宋体"/>
                <w:color w:val="auto"/>
                <w:sz w:val="20"/>
                <w:szCs w:val="20"/>
                <w:highlight w:val="none"/>
                <w:lang w:val="zh-CN" w:eastAsia="zh-CN" w:bidi="zh-CN"/>
              </w:rPr>
            </w:pPr>
          </w:p>
        </w:tc>
        <w:tc>
          <w:tcPr>
            <w:tcW w:w="2110" w:type="dxa"/>
            <w:noWrap w:val="0"/>
            <w:vAlign w:val="center"/>
          </w:tcPr>
          <w:p>
            <w:pPr>
              <w:keepNext w:val="0"/>
              <w:keepLines w:val="0"/>
              <w:widowControl/>
              <w:suppressLineNumbers w:val="0"/>
              <w:jc w:val="both"/>
              <w:textAlignment w:val="center"/>
              <w:rPr>
                <w:rFonts w:hint="eastAsia"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1、彩色多普勒超声仪包括：1.1 ≥19英寸高分辨率彩色</w:t>
            </w:r>
            <w:r>
              <w:rPr>
                <w:rStyle w:val="29"/>
                <w:color w:val="auto"/>
                <w:lang w:val="en-US" w:eastAsia="zh-CN" w:bidi="ar"/>
              </w:rPr>
              <w:t>液晶</w:t>
            </w:r>
            <w:r>
              <w:rPr>
                <w:rStyle w:val="30"/>
                <w:color w:val="auto"/>
                <w:lang w:val="en-US" w:eastAsia="zh-CN" w:bidi="ar"/>
              </w:rPr>
              <w:t>显示器，具有可调支撑臂</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default"/>
                <w:color w:val="auto"/>
                <w:sz w:val="20"/>
                <w:szCs w:val="20"/>
                <w:highlight w:val="none"/>
                <w:lang w:val="en-US" w:eastAsia="zh-CN"/>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bookmarkStart w:id="0" w:name="_GoBack"/>
            <w:bookmarkEnd w:id="0"/>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1.2 高分辨率二维灰阶成像和M型显示模式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1.3 具有彩色多普勒血流成像及方向性能量图</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1.4 具有频谱多普勒显示和分析单元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1.5 支持高分辨率局部放大功能，最高放大倍数≥</w:t>
            </w:r>
            <w:r>
              <w:rPr>
                <w:rStyle w:val="29"/>
                <w:color w:val="auto"/>
                <w:lang w:val="en-US" w:eastAsia="zh-CN" w:bidi="ar"/>
              </w:rPr>
              <w:t>25倍</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4" w:type="dxa"/>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1.6 支持组织谐波成像，≥3种不同方式的组织谐波成像技术，至少包括滤波谐波、脉冲减影谐波和差量谐波成像，可方便切换，可视可调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1.7 支持宽带组织谐波成像：可同时发射低频/高频两个不同频率的基波，接收二次谐波和高低频波的差量波</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1.8 支持梯形拓展成像，可应用于线阵、凸阵和相控阵等探头，线阵探头扩展角度</w:t>
            </w:r>
            <w:r>
              <w:rPr>
                <w:rStyle w:val="29"/>
                <w:color w:val="auto"/>
                <w:lang w:val="en-US" w:eastAsia="zh-CN" w:bidi="ar"/>
              </w:rPr>
              <w:t>≥55°</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1.9 支持高级复合成像，</w:t>
            </w:r>
            <w:r>
              <w:rPr>
                <w:rStyle w:val="29"/>
                <w:color w:val="auto"/>
                <w:lang w:val="en-US" w:eastAsia="zh-CN" w:bidi="ar"/>
              </w:rPr>
              <w:t>实时空间复合、实时频率复合和斑点噪声抑制</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1.10 支持实时完成空间、频率、空间加频率三种复合模式的一键可视切换</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w:t>
            </w: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▲1.11 高分辨率血流成像技术：高级动态血流成像，支持宽带多普勒技术，提高细小血管的空间分辨率，支持无外溢清晰显示≤0.2mm的血管血流，具有高敏感、高帧频，可频谱测量，具有方向性</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1.12 支持精确成像技术，在信号前端整合多声束的信息进行图像优化</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1.13 支持组织增强成像技术，结合相邻声束的信息相互增强，降低斑点噪声，提高心肌组织结构、心内膜边界和血管壁的显示能力</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1.14智能化图像一键优化技术，可应用在二维、多普勒及造影剂谐波成像等多种模式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1.15组织多普勒成像，至少支持相控阵、凸阵、线阵和腔内探头</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1.16 穿刺针增强显示技术，在不降低图像质量的同时增强穿刺针显示，提高穿刺介入的成功率</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w:t>
            </w: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▲1.17 超低速血流显示技术：超微血流成像，支持将运动伪像与超低速血流信息有效区分并消除，清晰显示超低速血流信号，彩色标尺最低显示可达0.4cm/s，常规检查条件下成像帧频</w:t>
            </w:r>
            <w:r>
              <w:rPr>
                <w:rStyle w:val="29"/>
                <w:color w:val="auto"/>
                <w:lang w:val="en-US" w:eastAsia="zh-CN" w:bidi="ar"/>
              </w:rPr>
              <w:t>≥49帧/秒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w:t>
            </w: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▲1.17.1超微血流成像：结合极速3D成像功能，实现极低速血流的高分辨率立体显示</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w:t>
            </w: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▲1.17.2超微血流成像：可检测极低速血流信号分布密度，准确计算血流信号在目标区域内的像素比</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▲1.18弹性成像技术</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2、测量和分析：（B型、M型、频谱多普勒、彩色多普勒）2.1 一般测量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2.2 心脏功能测量与分析（B型、M型、D型、TDI、B/CFI/M型）</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2.3 心脏二维360度任意角度解剖线测量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2.4  妇、产科测量与分析</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2.5 血管血流测量与分析</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2.6 血管内中膜自动测量功能</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2.7 颈后透明层自动测量功能</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2.8 血管指数分析工具，可定量评估感兴趣区域内的血管密度</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3、参考信号：心电、心电触发</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4、输入/输出信号：4.1 输入：</w:t>
            </w:r>
            <w:r>
              <w:rPr>
                <w:rStyle w:val="29"/>
                <w:color w:val="auto"/>
                <w:lang w:val="en-US" w:eastAsia="zh-CN" w:bidi="ar"/>
              </w:rPr>
              <w:t>至少支持</w:t>
            </w:r>
            <w:r>
              <w:rPr>
                <w:rStyle w:val="30"/>
                <w:color w:val="auto"/>
                <w:lang w:val="en-US" w:eastAsia="zh-CN" w:bidi="ar"/>
              </w:rPr>
              <w:t>S-VHS、RGB彩色视频</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4.2 输出：</w:t>
            </w:r>
            <w:r>
              <w:rPr>
                <w:rStyle w:val="29"/>
                <w:color w:val="auto"/>
                <w:lang w:val="en-US" w:eastAsia="zh-CN" w:bidi="ar"/>
              </w:rPr>
              <w:t>至少支持</w:t>
            </w:r>
            <w:r>
              <w:rPr>
                <w:rStyle w:val="30"/>
                <w:color w:val="auto"/>
                <w:lang w:val="en-US" w:eastAsia="zh-CN" w:bidi="ar"/>
              </w:rPr>
              <w:t>S-VHS、彩色视频、DVI-I、USB接口</w:t>
            </w:r>
            <w:r>
              <w:rPr>
                <w:rStyle w:val="29"/>
                <w:color w:val="auto"/>
                <w:lang w:val="en-US" w:eastAsia="zh-CN" w:bidi="ar"/>
              </w:rPr>
              <w:t>≥4个</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5、图像管理与记录装置：5.1 内置超声图像存档与病案管理功能，支持病人静态图像和动态图像的存储、管理及回放，支持动态图像的压缩比调节，</w:t>
            </w:r>
            <w:r>
              <w:rPr>
                <w:rStyle w:val="29"/>
                <w:color w:val="auto"/>
                <w:lang w:val="en-US" w:eastAsia="zh-CN" w:bidi="ar"/>
              </w:rPr>
              <w:t>可随时调阅。</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5.2 存储：</w:t>
            </w:r>
            <w:r>
              <w:rPr>
                <w:rStyle w:val="29"/>
                <w:color w:val="auto"/>
                <w:lang w:val="en-US" w:eastAsia="zh-CN" w:bidi="ar"/>
              </w:rPr>
              <w:t>支持双硬盘设置，</w:t>
            </w:r>
            <w:r>
              <w:rPr>
                <w:rStyle w:val="30"/>
                <w:color w:val="auto"/>
                <w:lang w:val="en-US" w:eastAsia="zh-CN" w:bidi="ar"/>
              </w:rPr>
              <w:t xml:space="preserve">硬盘容量≥1000G， </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1、系统通用功能：1.1 监视器：≥19寸高分辨率彩色液晶显示器，全方位可调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1.2 ≥</w:t>
            </w:r>
            <w:r>
              <w:rPr>
                <w:rStyle w:val="29"/>
                <w:color w:val="auto"/>
                <w:lang w:val="en-US" w:eastAsia="zh-CN" w:bidi="ar"/>
              </w:rPr>
              <w:t>9英寸</w:t>
            </w:r>
            <w:r>
              <w:rPr>
                <w:rStyle w:val="30"/>
                <w:color w:val="auto"/>
                <w:lang w:val="en-US" w:eastAsia="zh-CN" w:bidi="ar"/>
              </w:rPr>
              <w:t>彩色液晶触摸屏，显示智能化图标式菜单，具备多级子菜单及直觉性探头切换模式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w:t>
            </w: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▲1.3 操作面板所有功能按键可编程、可依据用户需求自定义</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1.4 操作控制台可上下调节</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1.5 探头接口具有LED照明指示灯，便于探头更换</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1.6 探头个数：16个（腹部探头4个,高频探头4个,腔内探头4个,心脏探头4个）</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1.7激活成像探头接口</w:t>
            </w:r>
            <w:r>
              <w:rPr>
                <w:rStyle w:val="29"/>
                <w:color w:val="auto"/>
                <w:lang w:val="en-US" w:eastAsia="zh-CN" w:bidi="ar"/>
              </w:rPr>
              <w:t>＞2个</w:t>
            </w:r>
            <w:r>
              <w:rPr>
                <w:rStyle w:val="30"/>
                <w:color w:val="auto"/>
                <w:lang w:val="en-US" w:eastAsia="zh-CN" w:bidi="ar"/>
              </w:rPr>
              <w:t>，通用可互换</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1"/>
                <w:szCs w:val="21"/>
                <w:u w:val="none"/>
                <w:lang w:val="en-US" w:eastAsia="zh-CN" w:bidi="ar"/>
              </w:rPr>
              <w:t>▲</w:t>
            </w: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▲1.8  最大成像深度≥40cm</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1.9 预设条件：针对不同的检查脏器，预置最佳化图像的检查条件，</w:t>
            </w:r>
            <w:r>
              <w:rPr>
                <w:rStyle w:val="29"/>
                <w:color w:val="auto"/>
                <w:lang w:val="en-US" w:eastAsia="zh-CN" w:bidi="ar"/>
              </w:rPr>
              <w:t>可自定义建立多个预设条件</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2、探头规格：2.1性能：超宽频带变频探头，B模式中心频率最大可选择</w:t>
            </w:r>
            <w:r>
              <w:rPr>
                <w:rStyle w:val="29"/>
                <w:color w:val="auto"/>
                <w:lang w:val="en-US" w:eastAsia="zh-CN" w:bidi="ar"/>
              </w:rPr>
              <w:t>＞8种</w:t>
            </w:r>
            <w:r>
              <w:rPr>
                <w:rStyle w:val="30"/>
                <w:color w:val="auto"/>
                <w:lang w:val="en-US" w:eastAsia="zh-CN" w:bidi="ar"/>
              </w:rPr>
              <w:t>；多普勒频率最大可选择</w:t>
            </w:r>
            <w:r>
              <w:rPr>
                <w:rStyle w:val="29"/>
                <w:color w:val="auto"/>
                <w:lang w:val="en-US" w:eastAsia="zh-CN" w:bidi="ar"/>
              </w:rPr>
              <w:t>＞3种</w:t>
            </w:r>
            <w:r>
              <w:rPr>
                <w:rStyle w:val="30"/>
                <w:color w:val="auto"/>
                <w:lang w:val="en-US" w:eastAsia="zh-CN" w:bidi="ar"/>
              </w:rPr>
              <w:t>；中心频率的变频在屏幕上可视可调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2.2类型：相控阵，凸阵，线阵</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2.3阵元：线阵探头有效阵元数≥256阵元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凸阵探头有效阵元数≥256阵元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相控阵探头有效阵元数≥128阵元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2.4  B/D兼用：相控阵B/PWD及B/CWD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线阵：B/PWD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凸阵：B/PWD</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2.5 凸阵探头：频率范围 1-6MHz，可视最高中心频率≥6.0MHz，基波成像的中心频率个数</w:t>
            </w:r>
            <w:r>
              <w:rPr>
                <w:rStyle w:val="29"/>
                <w:color w:val="auto"/>
                <w:lang w:val="en-US" w:eastAsia="zh-CN" w:bidi="ar"/>
              </w:rPr>
              <w:t>＞2</w:t>
            </w:r>
            <w:r>
              <w:rPr>
                <w:rStyle w:val="30"/>
                <w:color w:val="auto"/>
                <w:lang w:val="en-US" w:eastAsia="zh-CN" w:bidi="ar"/>
              </w:rPr>
              <w:t>个，谐波成像的中心频率个数</w:t>
            </w:r>
            <w:r>
              <w:rPr>
                <w:rStyle w:val="29"/>
                <w:color w:val="auto"/>
                <w:lang w:val="en-US" w:eastAsia="zh-CN" w:bidi="ar"/>
              </w:rPr>
              <w:t>＞4个</w:t>
            </w:r>
            <w:r>
              <w:rPr>
                <w:rStyle w:val="30"/>
                <w:color w:val="auto"/>
                <w:lang w:val="en-US" w:eastAsia="zh-CN" w:bidi="ar"/>
              </w:rPr>
              <w:t>，可视可调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2.6 线阵探头：频率范围5-14MHz，基波成像的中心频率个数</w:t>
            </w:r>
            <w:r>
              <w:rPr>
                <w:rStyle w:val="29"/>
                <w:color w:val="auto"/>
                <w:lang w:val="en-US" w:eastAsia="zh-CN" w:bidi="ar"/>
              </w:rPr>
              <w:t>＞2</w:t>
            </w:r>
            <w:r>
              <w:rPr>
                <w:rStyle w:val="30"/>
                <w:color w:val="auto"/>
                <w:lang w:val="en-US" w:eastAsia="zh-CN" w:bidi="ar"/>
              </w:rPr>
              <w:t>个，谐波成像的中心频率个数</w:t>
            </w:r>
            <w:r>
              <w:rPr>
                <w:rStyle w:val="29"/>
                <w:color w:val="auto"/>
                <w:lang w:val="en-US" w:eastAsia="zh-CN" w:bidi="ar"/>
              </w:rPr>
              <w:t>＞4</w:t>
            </w:r>
            <w:r>
              <w:rPr>
                <w:rStyle w:val="30"/>
                <w:color w:val="auto"/>
                <w:lang w:val="en-US" w:eastAsia="zh-CN" w:bidi="ar"/>
              </w:rPr>
              <w:t>个，可视可调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2.7 相控阵探头：频率范围2-5MHz，基波成像的中心频率个数</w:t>
            </w:r>
            <w:r>
              <w:rPr>
                <w:rStyle w:val="29"/>
                <w:color w:val="auto"/>
                <w:lang w:val="en-US" w:eastAsia="zh-CN" w:bidi="ar"/>
              </w:rPr>
              <w:t>＞2</w:t>
            </w:r>
            <w:r>
              <w:rPr>
                <w:rStyle w:val="30"/>
                <w:color w:val="auto"/>
                <w:lang w:val="en-US" w:eastAsia="zh-CN" w:bidi="ar"/>
              </w:rPr>
              <w:t>个，谐波成像的中心频率个数≥3个，可视可调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2.8 腔内探头：频率范围3-11MHz，基波成像的中心频率个数</w:t>
            </w:r>
            <w:r>
              <w:rPr>
                <w:rStyle w:val="29"/>
                <w:color w:val="auto"/>
                <w:lang w:val="en-US" w:eastAsia="zh-CN" w:bidi="ar"/>
              </w:rPr>
              <w:t>＞2</w:t>
            </w:r>
            <w:r>
              <w:rPr>
                <w:rStyle w:val="30"/>
                <w:color w:val="auto"/>
                <w:lang w:val="en-US" w:eastAsia="zh-CN" w:bidi="ar"/>
              </w:rPr>
              <w:t>个，谐波成像的中心频率个数≥6个，可视可调，扫描角度≥180°</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3、二维灰阶成像主要参数：3.1 高密度波束形成器，数字式全程动态聚焦，数字式可变孔径及动态变迹，A/D≥12bit</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3.2 声束发射聚焦：发射</w:t>
            </w:r>
            <w:r>
              <w:rPr>
                <w:rStyle w:val="29"/>
                <w:color w:val="auto"/>
                <w:lang w:val="en-US" w:eastAsia="zh-CN" w:bidi="ar"/>
              </w:rPr>
              <w:t>＞7</w:t>
            </w:r>
            <w:r>
              <w:rPr>
                <w:rStyle w:val="30"/>
                <w:color w:val="auto"/>
                <w:lang w:val="en-US" w:eastAsia="zh-CN" w:bidi="ar"/>
              </w:rPr>
              <w:t>段；接收可连续聚焦</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3.3 扫描线：每帧线密度≥380超声线</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3.4 回放重现：灰阶图像回放≥</w:t>
            </w:r>
            <w:r>
              <w:rPr>
                <w:rStyle w:val="29"/>
                <w:color w:val="auto"/>
                <w:lang w:val="en-US" w:eastAsia="zh-CN" w:bidi="ar"/>
              </w:rPr>
              <w:t>2650</w:t>
            </w:r>
            <w:r>
              <w:rPr>
                <w:rStyle w:val="30"/>
                <w:color w:val="auto"/>
                <w:lang w:val="en-US" w:eastAsia="zh-CN" w:bidi="ar"/>
              </w:rPr>
              <w:t>幅，回放速度可调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3.5 增益调节：B/M可独立调节，STC（DGC）分段≥8</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3.6 成像速率：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相控阵探头，全视野，18cm深度时，在最高线密度下，帧速率≥69帧/秒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凸阵探头，全视野，18cm深度时，在最高线密度下，帧速率≥39帧/秒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4、频谱多普勒：4.1 方式：脉冲波多普勒PWD ，连续波多普勒CWD</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4.2 显示方式： B/D、M/D、D</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4.3 频谱显示具有自动包络、智能化显示功能</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4.4 智能多普勒聚焦，可根据多普勒取样位置自动聚焦</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4.5 最大测量速度：PWD：最大血流速度≥7.0m/s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CWD：最大血流速度≥22.0m/s</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4.6 最低测量速度：≤0.3mm/s（非噪声信号）</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4.7 电影回放时间：</w:t>
            </w:r>
            <w:r>
              <w:rPr>
                <w:rStyle w:val="29"/>
                <w:color w:val="auto"/>
                <w:lang w:val="en-US" w:eastAsia="zh-CN" w:bidi="ar"/>
              </w:rPr>
              <w:t>≥34秒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i w:val="0"/>
                <w:iCs w:val="0"/>
                <w:color w:val="auto"/>
                <w:kern w:val="0"/>
                <w:sz w:val="21"/>
                <w:szCs w:val="21"/>
                <w:u w:val="none"/>
                <w:lang w:val="en-US" w:eastAsia="zh-CN" w:bidi="ar"/>
              </w:rPr>
              <w:t>4.8 零位移动：</w:t>
            </w:r>
            <w:r>
              <w:rPr>
                <w:rStyle w:val="29"/>
                <w:color w:val="auto"/>
                <w:lang w:val="en-US" w:eastAsia="zh-CN" w:bidi="ar"/>
              </w:rPr>
              <w:t>＞7级</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4.9 取样宽度及位置范围：宽度1mm至20mm；分13级</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4.10 滤波器：高通滤波或低通滤波两种，分级选择</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4.11 显示控制：反转显示（左/右；上/下）、零移位、B—刷新、D扩展、B/D扩展</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5、彩色多普勒：5.1 显示方式：</w:t>
            </w:r>
            <w:r>
              <w:rPr>
                <w:rStyle w:val="29"/>
                <w:color w:val="auto"/>
                <w:lang w:val="en-US" w:eastAsia="zh-CN" w:bidi="ar"/>
              </w:rPr>
              <w:t>至少支持</w:t>
            </w:r>
            <w:r>
              <w:rPr>
                <w:rStyle w:val="30"/>
                <w:color w:val="auto"/>
                <w:lang w:val="en-US" w:eastAsia="zh-CN" w:bidi="ar"/>
              </w:rPr>
              <w:t>速度方差显示、能量显示、速度显示、方差显示、二维图像/频谱多普勒/彩色血流成像三同步显示</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5.2 彩色增强功能：</w:t>
            </w:r>
            <w:r>
              <w:rPr>
                <w:rStyle w:val="29"/>
                <w:color w:val="auto"/>
                <w:lang w:val="en-US" w:eastAsia="zh-CN" w:bidi="ar"/>
              </w:rPr>
              <w:t>至少支持</w:t>
            </w:r>
            <w:r>
              <w:rPr>
                <w:rStyle w:val="30"/>
                <w:color w:val="auto"/>
                <w:lang w:val="en-US" w:eastAsia="zh-CN" w:bidi="ar"/>
              </w:rPr>
              <w:t>组织多普勒成像，方向性能量图，高级动态血流成像，超微血流成像</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5.3 彩色和二维/频谱多普勒可独立变频</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5.4 扇形扫描角度：5°～90°选择</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5.5 显示位置调整：线阵扫描感兴趣的图像范围：-30°～+30°</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5.6 彩色显示帧频：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相控阵探头，全视野，18cm深度时，帧速率≥14帧/秒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凸阵探头，全视野，18cm深度时，帧速率≥11帧/秒</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5.7 显示控制：零位移动分级可调、黑/白与彩色比较、彩色对比</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5.8彩色显示速度：最低平均血流测量速度≤3mm/s</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 xml:space="preserve">5.9 彩色分辨率：最小血管空间分辨率≤0.2mm </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6、超声功率输出调节：B/M、PWD、CWD、彩色多普勒输出功率可调</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noWrap w:val="0"/>
            <w:vAlign w:val="center"/>
          </w:tcPr>
          <w:p>
            <w:pPr>
              <w:keepNext w:val="0"/>
              <w:keepLines w:val="0"/>
              <w:pageBreakBefore w:val="0"/>
              <w:numPr>
                <w:ilvl w:val="0"/>
                <w:numId w:val="1"/>
              </w:numPr>
              <w:kinsoku/>
              <w:wordWrap/>
              <w:overflowPunct/>
              <w:topLinePunct w:val="0"/>
              <w:bidi w:val="0"/>
              <w:adjustRightInd/>
              <w:snapToGrid w:val="0"/>
              <w:spacing w:line="240" w:lineRule="auto"/>
              <w:ind w:left="425" w:leftChars="0" w:hanging="425" w:firstLineChars="0"/>
              <w:jc w:val="center"/>
              <w:rPr>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彩色多普勒超声仪</w:t>
            </w: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color w:val="auto"/>
                <w:sz w:val="20"/>
                <w:szCs w:val="20"/>
                <w:highlight w:val="none"/>
              </w:rPr>
            </w:pPr>
          </w:p>
        </w:tc>
        <w:tc>
          <w:tcPr>
            <w:tcW w:w="2110" w:type="dxa"/>
            <w:noWrap w:val="0"/>
            <w:vAlign w:val="center"/>
          </w:tcPr>
          <w:p>
            <w:pPr>
              <w:keepNext w:val="0"/>
              <w:keepLines w:val="0"/>
              <w:widowControl/>
              <w:suppressLineNumbers w:val="0"/>
              <w:jc w:val="both"/>
              <w:textAlignment w:val="center"/>
              <w:rPr>
                <w:rFonts w:hint="eastAsia" w:ascii="宋体" w:hAnsi="宋体" w:eastAsia="宋体" w:cs="宋体"/>
                <w:color w:val="auto"/>
                <w:sz w:val="20"/>
                <w:szCs w:val="20"/>
                <w:highlight w:val="none"/>
                <w:lang w:val="zh-CN" w:eastAsia="zh-CN" w:bidi="zh-CN"/>
              </w:rPr>
            </w:pPr>
            <w:r>
              <w:rPr>
                <w:rFonts w:hint="eastAsia" w:ascii="宋体" w:hAnsi="宋体" w:eastAsia="宋体" w:cs="宋体"/>
                <w:i w:val="0"/>
                <w:iCs w:val="0"/>
                <w:color w:val="auto"/>
                <w:kern w:val="0"/>
                <w:sz w:val="21"/>
                <w:szCs w:val="21"/>
                <w:u w:val="none"/>
                <w:lang w:val="en-US" w:eastAsia="zh-CN" w:bidi="ar"/>
              </w:rPr>
              <w:t>7、耦合剂加热器4个</w:t>
            </w:r>
          </w:p>
        </w:tc>
        <w:tc>
          <w:tcPr>
            <w:tcW w:w="158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055"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0" w:type="auto"/>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1252"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c>
          <w:tcPr>
            <w:tcW w:w="853" w:type="dxa"/>
            <w:noWrap w:val="0"/>
            <w:vAlign w:val="center"/>
          </w:tcPr>
          <w:p>
            <w:pPr>
              <w:keepNext w:val="0"/>
              <w:keepLines w:val="0"/>
              <w:pageBreakBefore w:val="0"/>
              <w:kinsoku/>
              <w:wordWrap/>
              <w:overflowPunct/>
              <w:topLinePunct w:val="0"/>
              <w:bidi w:val="0"/>
              <w:adjustRightInd/>
              <w:snapToGrid w:val="0"/>
              <w:spacing w:line="240" w:lineRule="auto"/>
              <w:jc w:val="center"/>
              <w:rPr>
                <w:rFonts w:hint="eastAsia"/>
                <w:color w:val="auto"/>
                <w:sz w:val="20"/>
                <w:szCs w:val="20"/>
                <w:highlight w:val="none"/>
              </w:rPr>
            </w:pPr>
          </w:p>
        </w:tc>
      </w:tr>
    </w:tbl>
    <w:p>
      <w:pPr>
        <w:pStyle w:val="5"/>
        <w:spacing w:before="122"/>
        <w:ind w:left="490"/>
        <w:rPr>
          <w:color w:val="auto"/>
          <w:sz w:val="20"/>
          <w:szCs w:val="20"/>
        </w:rPr>
      </w:pPr>
      <w:r>
        <w:rPr>
          <w:color w:val="auto"/>
          <w:sz w:val="20"/>
          <w:szCs w:val="20"/>
        </w:rPr>
        <w:t>说明：</w:t>
      </w:r>
    </w:p>
    <w:p>
      <w:pPr>
        <w:pStyle w:val="5"/>
        <w:snapToGrid w:val="0"/>
        <w:spacing w:line="360" w:lineRule="auto"/>
        <w:ind w:left="106" w:right="149" w:firstLine="384"/>
        <w:rPr>
          <w:color w:val="auto"/>
          <w:sz w:val="20"/>
          <w:szCs w:val="20"/>
        </w:rPr>
      </w:pPr>
      <w:r>
        <w:rPr>
          <w:rFonts w:hint="eastAsia"/>
          <w:color w:val="auto"/>
          <w:sz w:val="20"/>
          <w:szCs w:val="20"/>
          <w:lang w:val="en-US"/>
        </w:rPr>
        <w:t>1.</w:t>
      </w:r>
      <w:r>
        <w:rPr>
          <w:rFonts w:hint="eastAsia"/>
          <w:color w:val="auto"/>
          <w:sz w:val="20"/>
          <w:szCs w:val="20"/>
        </w:rPr>
        <w:t>“</w:t>
      </w:r>
      <w:r>
        <w:rPr>
          <w:color w:val="auto"/>
          <w:sz w:val="20"/>
          <w:szCs w:val="20"/>
        </w:rPr>
        <w:t>采购文件规定的技术和服务要求</w:t>
      </w:r>
      <w:r>
        <w:rPr>
          <w:rFonts w:hint="eastAsia"/>
          <w:color w:val="auto"/>
          <w:sz w:val="20"/>
          <w:szCs w:val="20"/>
        </w:rPr>
        <w:t>”</w:t>
      </w:r>
      <w:r>
        <w:rPr>
          <w:color w:val="auto"/>
          <w:sz w:val="20"/>
          <w:szCs w:val="20"/>
        </w:rPr>
        <w:t>项下填写的内容应与招标文件中采购需求的</w:t>
      </w:r>
      <w:r>
        <w:rPr>
          <w:rFonts w:hint="eastAsia"/>
          <w:color w:val="auto"/>
          <w:sz w:val="20"/>
          <w:szCs w:val="20"/>
        </w:rPr>
        <w:t>“</w:t>
      </w:r>
      <w:r>
        <w:rPr>
          <w:color w:val="auto"/>
          <w:sz w:val="20"/>
          <w:szCs w:val="20"/>
        </w:rPr>
        <w:t>技术要求</w:t>
      </w:r>
      <w:r>
        <w:rPr>
          <w:rFonts w:hint="eastAsia"/>
          <w:color w:val="auto"/>
          <w:sz w:val="20"/>
          <w:szCs w:val="20"/>
        </w:rPr>
        <w:t>”</w:t>
      </w:r>
      <w:r>
        <w:rPr>
          <w:color w:val="auto"/>
          <w:sz w:val="20"/>
          <w:szCs w:val="20"/>
        </w:rPr>
        <w:t>的内容保持一致。投标人应当如实填写上表</w:t>
      </w:r>
      <w:r>
        <w:rPr>
          <w:rFonts w:hint="eastAsia"/>
          <w:color w:val="auto"/>
          <w:sz w:val="20"/>
          <w:szCs w:val="20"/>
        </w:rPr>
        <w:t>“</w:t>
      </w:r>
      <w:r>
        <w:rPr>
          <w:color w:val="auto"/>
          <w:sz w:val="20"/>
          <w:szCs w:val="20"/>
        </w:rPr>
        <w:t>投标文件响应的具体内容</w:t>
      </w:r>
      <w:r>
        <w:rPr>
          <w:rFonts w:hint="eastAsia"/>
          <w:color w:val="auto"/>
          <w:sz w:val="20"/>
          <w:szCs w:val="20"/>
        </w:rPr>
        <w:t>”</w:t>
      </w:r>
      <w:r>
        <w:rPr>
          <w:color w:val="auto"/>
          <w:sz w:val="20"/>
          <w:szCs w:val="20"/>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5"/>
        <w:snapToGrid w:val="0"/>
        <w:spacing w:line="360" w:lineRule="auto"/>
        <w:ind w:left="106" w:right="149" w:firstLine="384"/>
        <w:rPr>
          <w:color w:val="auto"/>
          <w:sz w:val="20"/>
          <w:szCs w:val="20"/>
        </w:rPr>
      </w:pPr>
      <w:r>
        <w:rPr>
          <w:rFonts w:hint="eastAsia"/>
          <w:color w:val="auto"/>
          <w:sz w:val="20"/>
          <w:szCs w:val="20"/>
        </w:rPr>
        <w:t>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5"/>
        <w:snapToGrid w:val="0"/>
        <w:spacing w:line="360" w:lineRule="auto"/>
        <w:ind w:left="106" w:right="149" w:firstLine="384"/>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lang w:val="en-US"/>
        </w:rPr>
        <w:t>.</w:t>
      </w:r>
      <w:r>
        <w:rPr>
          <w:rFonts w:hint="eastAsia" w:ascii="宋体" w:hAnsi="宋体" w:eastAsia="宋体" w:cs="宋体"/>
          <w:color w:val="auto"/>
          <w:sz w:val="20"/>
          <w:szCs w:val="20"/>
        </w:rPr>
        <w:t>“是否偏离”项下应按下列规定填写：优于的，填写“正偏离”；符合的，填写“无偏离”；低于的，填写“负偏离”</w:t>
      </w:r>
      <w:r>
        <w:rPr>
          <w:rFonts w:hint="eastAsia" w:ascii="宋体" w:hAnsi="宋体" w:eastAsia="宋体" w:cs="宋体"/>
          <w:color w:val="auto"/>
          <w:sz w:val="20"/>
          <w:szCs w:val="20"/>
          <w:lang w:eastAsia="zh-CN"/>
        </w:rPr>
        <w:t>。</w:t>
      </w:r>
    </w:p>
    <w:p>
      <w:pPr>
        <w:pStyle w:val="5"/>
        <w:snapToGrid w:val="0"/>
        <w:spacing w:line="360" w:lineRule="auto"/>
        <w:ind w:left="534" w:leftChars="220" w:right="149" w:hanging="50" w:hangingChars="25"/>
        <w:rPr>
          <w:color w:val="auto"/>
          <w:sz w:val="20"/>
          <w:szCs w:val="20"/>
          <w:lang w:val="en-US"/>
        </w:rPr>
      </w:pPr>
      <w:r>
        <w:rPr>
          <w:rFonts w:hint="eastAsia"/>
          <w:color w:val="auto"/>
          <w:sz w:val="20"/>
          <w:szCs w:val="20"/>
          <w:lang w:val="en-US" w:eastAsia="zh-CN"/>
        </w:rPr>
        <w:t>4</w:t>
      </w:r>
      <w:r>
        <w:rPr>
          <w:rFonts w:hint="eastAsia"/>
          <w:color w:val="auto"/>
          <w:sz w:val="20"/>
          <w:szCs w:val="20"/>
          <w:lang w:val="en-US"/>
        </w:rPr>
        <w:t>.“备注”处可填写偏离情况的说明。</w:t>
      </w:r>
    </w:p>
    <w:p>
      <w:pPr>
        <w:pStyle w:val="5"/>
        <w:snapToGrid w:val="0"/>
        <w:spacing w:line="360" w:lineRule="auto"/>
        <w:ind w:left="106" w:right="149" w:firstLine="384"/>
        <w:rPr>
          <w:color w:val="auto"/>
          <w:sz w:val="20"/>
          <w:szCs w:val="20"/>
          <w:lang w:val="en-US"/>
        </w:rPr>
        <w:sectPr>
          <w:type w:val="continuous"/>
          <w:pgSz w:w="11900" w:h="16840"/>
          <w:pgMar w:top="1260" w:right="520" w:bottom="200" w:left="560" w:header="720" w:footer="720" w:gutter="0"/>
          <w:cols w:space="720" w:num="1"/>
        </w:sectPr>
      </w:pPr>
    </w:p>
    <w:p>
      <w:pPr>
        <w:snapToGrid w:val="0"/>
        <w:spacing w:line="360" w:lineRule="auto"/>
        <w:ind w:left="102"/>
        <w:jc w:val="center"/>
        <w:rPr>
          <w:b/>
          <w:color w:val="auto"/>
          <w:sz w:val="20"/>
          <w:szCs w:val="20"/>
        </w:rPr>
      </w:pPr>
      <w:r>
        <w:rPr>
          <w:b/>
          <w:color w:val="auto"/>
          <w:sz w:val="20"/>
          <w:szCs w:val="20"/>
        </w:rPr>
        <w:t>《商务条件响应表》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425"/>
        <w:gridCol w:w="2670"/>
        <w:gridCol w:w="2160"/>
        <w:gridCol w:w="1290"/>
        <w:gridCol w:w="141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序号</w:t>
            </w:r>
          </w:p>
        </w:tc>
        <w:tc>
          <w:tcPr>
            <w:tcW w:w="1425"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76" w:rightChars="0"/>
              <w:jc w:val="center"/>
              <w:textAlignment w:val="auto"/>
              <w:rPr>
                <w:rFonts w:hint="eastAsia"/>
                <w:color w:val="auto"/>
                <w:sz w:val="20"/>
                <w:szCs w:val="20"/>
                <w:vertAlign w:val="baseline"/>
                <w:lang w:val="en-US"/>
              </w:rPr>
            </w:pPr>
            <w:r>
              <w:rPr>
                <w:rFonts w:hint="eastAsia"/>
                <w:color w:val="auto"/>
                <w:sz w:val="20"/>
                <w:szCs w:val="20"/>
                <w:vertAlign w:val="baseline"/>
                <w:lang w:val="en-US"/>
              </w:rPr>
              <w:t>参数性质</w:t>
            </w:r>
          </w:p>
        </w:tc>
        <w:tc>
          <w:tcPr>
            <w:tcW w:w="267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采购文件规定的商务条件</w:t>
            </w:r>
          </w:p>
        </w:tc>
        <w:tc>
          <w:tcPr>
            <w:tcW w:w="216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投标文件响应的具体内容</w:t>
            </w:r>
          </w:p>
        </w:tc>
        <w:tc>
          <w:tcPr>
            <w:tcW w:w="129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是否偏离</w:t>
            </w:r>
          </w:p>
        </w:tc>
        <w:tc>
          <w:tcPr>
            <w:tcW w:w="141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证明文件所在位置</w:t>
            </w:r>
          </w:p>
        </w:tc>
        <w:tc>
          <w:tcPr>
            <w:tcW w:w="1330" w:type="dxa"/>
            <w:shd w:val="clear" w:color="auto" w:fill="F1F1F1" w:themeFill="background1" w:themeFillShade="F2"/>
            <w:vAlign w:val="center"/>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jc w:val="center"/>
              <w:textAlignment w:val="auto"/>
              <w:rPr>
                <w:rFonts w:hint="eastAsia"/>
                <w:color w:val="auto"/>
                <w:sz w:val="20"/>
                <w:szCs w:val="20"/>
                <w:vertAlign w:val="baseline"/>
                <w:lang w:val="en-US"/>
              </w:rPr>
            </w:pPr>
            <w:r>
              <w:rPr>
                <w:rFonts w:hint="eastAsia"/>
                <w:color w:val="auto"/>
                <w:sz w:val="20"/>
                <w:szCs w:val="20"/>
                <w:vertAlign w:val="baseline"/>
                <w:lang w:val="en-US"/>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（一）报价要求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1、本项目的报价和结算支付均以人民币为货币单位。</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2、本项目的最高限价为人民币3595000.00元，投标人的投标报价不得高于最高限价，否则作为无效投标处理。</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3、投标人报价应包含但不限于产品供货、备件备品费、相关附件、专用工具费、材料费、运输费、装卸费、安装费、调试费、验收费、保险费、售后服务费、税费、人工费、技术培训服务费、验收要求所需的相关试验及检测费用、质量保证期内的包修包换的费用、合同实施过程中应预见及不可预见费等完成本项目内容所需的一切费用。</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（二）质保期及售后服务要求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1、免费保修期限（质保期）为3年，质保期内中标人对所供货物实行包修、包换、包退、包维护保养。</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2、质保期内，如设备或零部件因非人为因素出现故障而造成短期停用时，则质保期和免费维修期相应顺延。如停用时间累计超过60天则质保期重新计算。</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3、对采购人的服务通知，中标人在接报后1小时内响应，4小时内到达现场，48小时内处理完毕。若在48小时内仍未能有效解决，中标人须免费提供相同型号的备用机予采购人临时使用。</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4、质保期内免费提供现场技术培训、技术咨询、维修和软件升级等服务，保证使用人员正常操作设备的各种功能。</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5、质保期内每季度对设备免费提供定期保养维护，出具保养维护记录，保养维护内容包括但不限于：机器清洁，性能测试及校准，必要的机械或电气检查，以及非紧急性质的补救性维修。</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6、涉及计量检测设备的，需提供采购人所在地法定专业检定部门出具的检定证书，检定费用由中标人负责。</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（三）包装、保险及发运、保管要求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1、设备材料的包装必须是制造商原厂包装，其包装均应有良好的防湿、防锈、防潮、防雨、防腐及防碰撞的措施。凡由于包装不良造成的损失和由此产生的费用均由投标人承担。</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2、中标人负责将设备材料货到现场过程中的全部运输，包括装卸车、货物现场的搬运。</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3、各种设备必须提供装箱清单，按装箱清单验收货物。</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4、货物在现场的保管由中标人负责，直至项目安装、验收完毕。</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5、货物在系统安装调试验收合格前的保险由中标人负责，中标人负责其派出的现场服务人员人身意外保险。</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6、设备至采购人指定的使用现场的包装、保险及发运等环节和费用均由中标人负责。</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（四）安装、调试</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中标人必须依照招标文件的要求和投标文件的承诺，将设备（系统）安装并调试至正常运行的最佳状态且双方均认为满意。</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（五）知识产权和保密要求</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color w:val="auto"/>
                <w:sz w:val="20"/>
                <w:szCs w:val="20"/>
                <w:vertAlign w:val="baseline"/>
                <w:lang w:val="en-US"/>
              </w:rPr>
              <w:t>中标人保证合同项下提供的设备不侵犯任何第三方的专利、商标或版权等知识产权。否则，中标人须承担对第三方的专利或第三方的专利或版权等知识产权的侵权责任并承担由此而发生的所有费用。</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rPr>
              <w:t>标的提供的时间</w:t>
            </w:r>
            <w:r>
              <w:rPr>
                <w:rFonts w:hint="eastAsia" w:ascii="宋体" w:hAnsi="宋体" w:eastAsia="宋体" w:cs="宋体"/>
                <w:color w:val="auto"/>
                <w:sz w:val="20"/>
                <w:szCs w:val="20"/>
                <w:vertAlign w:val="baseline"/>
                <w:lang w:val="en-US" w:eastAsia="zh-CN"/>
              </w:rPr>
              <w:t>：</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r>
              <w:rPr>
                <w:rFonts w:hint="eastAsia" w:ascii="宋体" w:hAnsi="宋体" w:eastAsia="宋体" w:cs="宋体"/>
                <w:color w:val="auto"/>
                <w:sz w:val="20"/>
                <w:szCs w:val="20"/>
                <w:vertAlign w:val="baseline"/>
                <w:lang w:val="en-US"/>
              </w:rPr>
              <w:t>合同签订生效后60天内完成交货、安装调试。</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rPr>
              <w:t>标的提供的地点</w:t>
            </w:r>
            <w:r>
              <w:rPr>
                <w:rFonts w:hint="eastAsia" w:cs="宋体"/>
                <w:color w:val="auto"/>
                <w:sz w:val="20"/>
                <w:szCs w:val="20"/>
                <w:vertAlign w:val="baseline"/>
                <w:lang w:val="en-US" w:eastAsia="zh-CN"/>
              </w:rPr>
              <w:t>：采购人指定地点。</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付款方式：</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1期：支付比例50%，签合同后支付合同总价的50%。</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 xml:space="preserve">2期：支付比例48%，设备安装调试结束，提交全部报告材料，调试完成并验收合格后30天内， 支付至合同总价的98%。 </w:t>
            </w:r>
          </w:p>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3期：支付比例2%，从验收合格之日起，正常使用12个月后30天内，支付合同总价的2%。注： 中标人凭以下有效文件与采购人结算：（1）合同；（2）中标人开具的正式发票；（3）验收调试 报告（加盖采购人公章）；（4）中标通知书。</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5"/>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425" w:leftChars="0" w:right="149" w:hanging="425" w:firstLineChars="0"/>
              <w:textAlignment w:val="auto"/>
              <w:rPr>
                <w:rFonts w:hint="eastAsia"/>
                <w:color w:val="auto"/>
                <w:sz w:val="20"/>
                <w:szCs w:val="20"/>
                <w:vertAlign w:val="baseline"/>
                <w:lang w:val="en-US"/>
              </w:rPr>
            </w:pPr>
          </w:p>
        </w:tc>
        <w:tc>
          <w:tcPr>
            <w:tcW w:w="1425"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267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验收要求：1期：1、货物若有国家标准按照国家标准验收，若无国家标准按行业标准验收，为原制造商制造 的全新产品，整机无污染，无侵权行为、表面无划损、无任何缺陷隐患，在中国境内可依常规安 全合法使用。 2、货物为原厂商未启封全新包装，具出厂合格证，序列号、包装箱号与出厂批号一 致，并可追索查阅。所有随设备的附件必须齐全。 3、中标人应将关键主机设备的用户手册、保修 手册、有关单证资料及配备件、随机工具等交付给采购人，使用操作及安全须知等重要资料应附 有中文说明。 4、采购人组成验收小组按国家有关规定、规范进行验收，必要时邀请相关的专业人 员或机构参与验收。因货物质量问题发生争议时，由本地质量技术监督部门鉴定。货物符合质量技术标准的，鉴定费由采购人承担；否则鉴定费由中标人承担。</w:t>
            </w:r>
          </w:p>
        </w:tc>
        <w:tc>
          <w:tcPr>
            <w:tcW w:w="216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29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41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c>
          <w:tcPr>
            <w:tcW w:w="1330" w:type="dxa"/>
          </w:tcPr>
          <w:p>
            <w:pPr>
              <w:pStyle w:val="5"/>
              <w:keepNext w:val="0"/>
              <w:keepLines w:val="0"/>
              <w:pageBreakBefore w:val="0"/>
              <w:widowControl w:val="0"/>
              <w:kinsoku/>
              <w:wordWrap/>
              <w:overflowPunct/>
              <w:topLinePunct w:val="0"/>
              <w:autoSpaceDE w:val="0"/>
              <w:autoSpaceDN w:val="0"/>
              <w:bidi w:val="0"/>
              <w:adjustRightInd/>
              <w:snapToGrid w:val="0"/>
              <w:spacing w:line="240" w:lineRule="auto"/>
              <w:ind w:right="149"/>
              <w:textAlignment w:val="auto"/>
              <w:rPr>
                <w:rFonts w:hint="eastAsia"/>
                <w:color w:val="auto"/>
                <w:sz w:val="20"/>
                <w:szCs w:val="20"/>
                <w:vertAlign w:val="baseline"/>
                <w:lang w:val="en-US"/>
              </w:rPr>
            </w:pPr>
          </w:p>
        </w:tc>
      </w:tr>
    </w:tbl>
    <w:p>
      <w:pPr>
        <w:pStyle w:val="5"/>
        <w:snapToGrid w:val="0"/>
        <w:spacing w:line="360" w:lineRule="auto"/>
        <w:ind w:left="106" w:right="149" w:firstLine="384"/>
        <w:rPr>
          <w:color w:val="auto"/>
          <w:sz w:val="20"/>
          <w:szCs w:val="20"/>
          <w:lang w:val="en-US"/>
        </w:rPr>
      </w:pPr>
      <w:r>
        <w:rPr>
          <w:rFonts w:hint="eastAsia"/>
          <w:color w:val="auto"/>
          <w:sz w:val="20"/>
          <w:szCs w:val="20"/>
          <w:lang w:val="en-US"/>
        </w:rPr>
        <w:t>说明：</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1.“采购文件规定的商务条件”项下填写的内容应与招标文件中采购需求的“商务要求”的内容保持一致。</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val="en-US"/>
        </w:rPr>
        <w:t>.“是否偏离”项下应按下列规定填写：优于的，填写“正偏离”；符合的，填写“无偏离”；低于的，填写“负偏离”。</w:t>
      </w:r>
    </w:p>
    <w:p>
      <w:pPr>
        <w:pStyle w:val="5"/>
        <w:snapToGrid w:val="0"/>
        <w:spacing w:line="360" w:lineRule="auto"/>
        <w:ind w:left="106" w:right="149" w:firstLine="384"/>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val="en-US"/>
        </w:rPr>
        <w:t>.“备注”处可填写偏离情况的说明。</w:t>
      </w:r>
    </w:p>
    <w:p>
      <w:pPr>
        <w:pStyle w:val="5"/>
        <w:tabs>
          <w:tab w:val="left" w:pos="287"/>
          <w:tab w:val="left" w:pos="768"/>
          <w:tab w:val="left" w:pos="1248"/>
        </w:tabs>
        <w:snapToGrid w:val="0"/>
        <w:spacing w:line="280" w:lineRule="exact"/>
        <w:ind w:right="339"/>
        <w:jc w:val="right"/>
        <w:rPr>
          <w:color w:val="auto"/>
        </w:rPr>
      </w:pPr>
    </w:p>
    <w:sectPr>
      <w:footerReference r:id="rId4" w:type="default"/>
      <w:pgSz w:w="11900" w:h="16840"/>
      <w:pgMar w:top="500" w:right="520" w:bottom="280" w:left="560"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58" o:spid="_x0000_s105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59" o:spid="_x0000_s1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1902"/>
    <w:multiLevelType w:val="singleLevel"/>
    <w:tmpl w:val="A79E1902"/>
    <w:lvl w:ilvl="0" w:tentative="0">
      <w:start w:val="1"/>
      <w:numFmt w:val="decimal"/>
      <w:lvlText w:val="%1."/>
      <w:lvlJc w:val="left"/>
      <w:pPr>
        <w:ind w:left="425" w:hanging="425"/>
      </w:pPr>
      <w:rPr>
        <w:rFonts w:hint="default"/>
      </w:rPr>
    </w:lvl>
  </w:abstractNum>
  <w:abstractNum w:abstractNumId="1">
    <w:nsid w:val="ECC14532"/>
    <w:multiLevelType w:val="singleLevel"/>
    <w:tmpl w:val="ECC1453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ViNDViN2U5NTUxNTFlZWY5MmM1ZDUwYWI0MGUwMWUifQ=="/>
  </w:docVars>
  <w:rsids>
    <w:rsidRoot w:val="003C7FA9"/>
    <w:rsid w:val="000B1731"/>
    <w:rsid w:val="001430EA"/>
    <w:rsid w:val="001A19D9"/>
    <w:rsid w:val="001E3AF0"/>
    <w:rsid w:val="003C7FA9"/>
    <w:rsid w:val="004512B5"/>
    <w:rsid w:val="00457434"/>
    <w:rsid w:val="00534F2C"/>
    <w:rsid w:val="00593D2C"/>
    <w:rsid w:val="00663044"/>
    <w:rsid w:val="00707566"/>
    <w:rsid w:val="00B719D3"/>
    <w:rsid w:val="00BA2A33"/>
    <w:rsid w:val="00BB29A7"/>
    <w:rsid w:val="00E81FAA"/>
    <w:rsid w:val="00F371DA"/>
    <w:rsid w:val="07961ECC"/>
    <w:rsid w:val="0A640576"/>
    <w:rsid w:val="3B3857CD"/>
    <w:rsid w:val="4220715D"/>
    <w:rsid w:val="4D6442F7"/>
    <w:rsid w:val="52A261DC"/>
    <w:rsid w:val="5D0D6309"/>
    <w:rsid w:val="78AB5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adjustRightInd w:val="0"/>
      <w:spacing w:line="420" w:lineRule="atLeast"/>
      <w:jc w:val="left"/>
    </w:pPr>
    <w:rPr>
      <w:kern w:val="0"/>
      <w:szCs w:val="20"/>
    </w:rPr>
  </w:style>
  <w:style w:type="paragraph" w:customStyle="1" w:styleId="3">
    <w:name w:val="正文_1"/>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annotation text"/>
    <w:basedOn w:val="1"/>
    <w:link w:val="22"/>
    <w:semiHidden/>
    <w:unhideWhenUsed/>
    <w:qFormat/>
    <w:uiPriority w:val="99"/>
  </w:style>
  <w:style w:type="paragraph" w:styleId="5">
    <w:name w:val="Body Text"/>
    <w:basedOn w:val="1"/>
    <w:qFormat/>
    <w:uiPriority w:val="1"/>
    <w:rPr>
      <w:sz w:val="19"/>
      <w:szCs w:val="19"/>
    </w:rPr>
  </w:style>
  <w:style w:type="paragraph" w:styleId="6">
    <w:name w:val="Balloon Text"/>
    <w:basedOn w:val="1"/>
    <w:link w:val="24"/>
    <w:semiHidden/>
    <w:unhideWhenUsed/>
    <w:qFormat/>
    <w:uiPriority w:val="99"/>
    <w:rPr>
      <w:sz w:val="18"/>
      <w:szCs w:val="18"/>
    </w:rPr>
  </w:style>
  <w:style w:type="paragraph" w:styleId="7">
    <w:name w:val="footer"/>
    <w:basedOn w:val="1"/>
    <w:link w:val="26"/>
    <w:semiHidden/>
    <w:unhideWhenUsed/>
    <w:qFormat/>
    <w:uiPriority w:val="99"/>
    <w:pPr>
      <w:tabs>
        <w:tab w:val="center" w:pos="4153"/>
        <w:tab w:val="right" w:pos="8306"/>
      </w:tabs>
      <w:snapToGrid w:val="0"/>
    </w:pPr>
    <w:rPr>
      <w:sz w:val="18"/>
      <w:szCs w:val="18"/>
    </w:rPr>
  </w:style>
  <w:style w:type="paragraph" w:styleId="8">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Heading 1"/>
    <w:basedOn w:val="1"/>
    <w:qFormat/>
    <w:uiPriority w:val="1"/>
    <w:pPr>
      <w:ind w:left="2644" w:right="2717"/>
      <w:jc w:val="center"/>
      <w:outlineLvl w:val="1"/>
    </w:pPr>
    <w:rPr>
      <w:b/>
      <w:bCs/>
      <w:sz w:val="38"/>
      <w:szCs w:val="38"/>
    </w:rPr>
  </w:style>
  <w:style w:type="paragraph" w:customStyle="1" w:styleId="16">
    <w:name w:val="Heading 2"/>
    <w:basedOn w:val="1"/>
    <w:qFormat/>
    <w:uiPriority w:val="1"/>
    <w:pPr>
      <w:ind w:left="2650" w:right="2717"/>
      <w:jc w:val="center"/>
      <w:outlineLvl w:val="2"/>
    </w:pPr>
    <w:rPr>
      <w:b/>
      <w:bCs/>
      <w:sz w:val="24"/>
      <w:szCs w:val="24"/>
    </w:rPr>
  </w:style>
  <w:style w:type="paragraph" w:customStyle="1" w:styleId="17">
    <w:name w:val="Heading 3"/>
    <w:basedOn w:val="1"/>
    <w:qFormat/>
    <w:uiPriority w:val="1"/>
    <w:pPr>
      <w:spacing w:before="48"/>
      <w:ind w:left="2650" w:right="2717"/>
      <w:jc w:val="center"/>
      <w:outlineLvl w:val="3"/>
    </w:pPr>
    <w:rPr>
      <w:b/>
      <w:bCs/>
      <w:sz w:val="21"/>
      <w:szCs w:val="21"/>
    </w:rPr>
  </w:style>
  <w:style w:type="paragraph" w:customStyle="1" w:styleId="18">
    <w:name w:val="Heading 4"/>
    <w:basedOn w:val="1"/>
    <w:qFormat/>
    <w:uiPriority w:val="1"/>
    <w:pPr>
      <w:spacing w:before="62"/>
      <w:ind w:left="100"/>
      <w:outlineLvl w:val="4"/>
    </w:pPr>
    <w:rPr>
      <w:b/>
      <w:bCs/>
      <w:sz w:val="20"/>
      <w:szCs w:val="20"/>
    </w:rPr>
  </w:style>
  <w:style w:type="paragraph" w:customStyle="1" w:styleId="19">
    <w:name w:val="Heading 5"/>
    <w:basedOn w:val="1"/>
    <w:qFormat/>
    <w:uiPriority w:val="1"/>
    <w:pPr>
      <w:ind w:left="312" w:hanging="207"/>
      <w:outlineLvl w:val="5"/>
    </w:pPr>
    <w:rPr>
      <w:b/>
      <w:bCs/>
      <w:sz w:val="19"/>
      <w:szCs w:val="19"/>
    </w:rPr>
  </w:style>
  <w:style w:type="paragraph" w:styleId="20">
    <w:name w:val="List Paragraph"/>
    <w:basedOn w:val="1"/>
    <w:qFormat/>
    <w:uiPriority w:val="1"/>
    <w:pPr>
      <w:spacing w:before="53"/>
      <w:ind w:left="106" w:firstLine="384"/>
    </w:pPr>
  </w:style>
  <w:style w:type="paragraph" w:customStyle="1" w:styleId="21">
    <w:name w:val="Table Paragraph"/>
    <w:basedOn w:val="1"/>
    <w:qFormat/>
    <w:uiPriority w:val="1"/>
  </w:style>
  <w:style w:type="character" w:customStyle="1" w:styleId="22">
    <w:name w:val="批注文字 Char"/>
    <w:basedOn w:val="12"/>
    <w:link w:val="4"/>
    <w:semiHidden/>
    <w:uiPriority w:val="99"/>
    <w:rPr>
      <w:rFonts w:ascii="宋体" w:hAnsi="宋体" w:eastAsia="宋体" w:cs="宋体"/>
      <w:lang w:val="zh-CN" w:eastAsia="zh-CN" w:bidi="zh-CN"/>
    </w:rPr>
  </w:style>
  <w:style w:type="character" w:customStyle="1" w:styleId="23">
    <w:name w:val="批注主题 Char"/>
    <w:basedOn w:val="22"/>
    <w:link w:val="9"/>
    <w:semiHidden/>
    <w:qFormat/>
    <w:uiPriority w:val="99"/>
    <w:rPr>
      <w:b/>
      <w:bCs/>
    </w:rPr>
  </w:style>
  <w:style w:type="character" w:customStyle="1" w:styleId="24">
    <w:name w:val="批注框文本 Char"/>
    <w:basedOn w:val="12"/>
    <w:link w:val="6"/>
    <w:semiHidden/>
    <w:qFormat/>
    <w:uiPriority w:val="99"/>
    <w:rPr>
      <w:rFonts w:ascii="宋体" w:hAnsi="宋体" w:eastAsia="宋体" w:cs="宋体"/>
      <w:sz w:val="18"/>
      <w:szCs w:val="18"/>
      <w:lang w:val="zh-CN" w:eastAsia="zh-CN" w:bidi="zh-CN"/>
    </w:rPr>
  </w:style>
  <w:style w:type="character" w:customStyle="1" w:styleId="25">
    <w:name w:val="页眉 Char"/>
    <w:basedOn w:val="12"/>
    <w:link w:val="8"/>
    <w:semiHidden/>
    <w:qFormat/>
    <w:uiPriority w:val="99"/>
    <w:rPr>
      <w:rFonts w:ascii="宋体" w:hAnsi="宋体" w:eastAsia="宋体" w:cs="宋体"/>
      <w:sz w:val="18"/>
      <w:szCs w:val="18"/>
      <w:lang w:val="zh-CN" w:eastAsia="zh-CN" w:bidi="zh-CN"/>
    </w:rPr>
  </w:style>
  <w:style w:type="character" w:customStyle="1" w:styleId="26">
    <w:name w:val="页脚 Char"/>
    <w:basedOn w:val="12"/>
    <w:link w:val="7"/>
    <w:semiHidden/>
    <w:qFormat/>
    <w:uiPriority w:val="99"/>
    <w:rPr>
      <w:rFonts w:ascii="宋体" w:hAnsi="宋体" w:eastAsia="宋体" w:cs="宋体"/>
      <w:sz w:val="18"/>
      <w:szCs w:val="18"/>
      <w:lang w:val="zh-CN" w:eastAsia="zh-CN" w:bidi="zh-CN"/>
    </w:rPr>
  </w:style>
  <w:style w:type="table" w:customStyle="1" w:styleId="27">
    <w:name w:val="网格型1"/>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正文_2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font51"/>
    <w:basedOn w:val="12"/>
    <w:uiPriority w:val="0"/>
    <w:rPr>
      <w:rFonts w:hint="eastAsia" w:ascii="宋体" w:hAnsi="宋体" w:eastAsia="宋体" w:cs="宋体"/>
      <w:color w:val="FF0000"/>
      <w:sz w:val="21"/>
      <w:szCs w:val="21"/>
      <w:u w:val="none"/>
    </w:rPr>
  </w:style>
  <w:style w:type="character" w:customStyle="1" w:styleId="30">
    <w:name w:val="font61"/>
    <w:basedOn w:val="12"/>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5630</Words>
  <Characters>6030</Characters>
  <Lines>41</Lines>
  <Paragraphs>11</Paragraphs>
  <TotalTime>1</TotalTime>
  <ScaleCrop>false</ScaleCrop>
  <LinksUpToDate>false</LinksUpToDate>
  <CharactersWithSpaces>6050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2022-04-15T06:35:00Z</dcterms:created>
  <dc:creator>Administrator</dc:creator>
  <cp:lastModifiedBy>NTKO</cp:lastModifiedBy>
  <dcterms:modified xsi:type="dcterms:W3CDTF">2022-05-30T08:36:59Z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wkhtmltopdf 0.12.5</vt:lpwstr>
  </property>
  <property fmtid="{D5CDD505-2E9C-101B-9397-08002B2CF9AE}" pid="4" name="LastSaved">
    <vt:filetime>2022-04-13T00:00:00Z</vt:filetime>
  </property>
  <property fmtid="{D5CDD505-2E9C-101B-9397-08002B2CF9AE}" pid="5" name="KSOProductBuildVer">
    <vt:lpwstr>2052-11.1.0.11744</vt:lpwstr>
  </property>
  <property fmtid="{D5CDD505-2E9C-101B-9397-08002B2CF9AE}" pid="6" name="ICV">
    <vt:lpwstr>189A2443187F44E1B0EFAE9059951A37</vt:lpwstr>
  </property>
</Properties>
</file>